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02F9F" w14:textId="77777777" w:rsidR="00D142BF" w:rsidRDefault="00D142BF" w:rsidP="00D142BF">
      <w:pPr>
        <w:ind w:firstLine="708"/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 xml:space="preserve">IZBORNO POVJERENSTVO </w:t>
      </w:r>
    </w:p>
    <w:p w14:paraId="088FD61C" w14:textId="77777777" w:rsidR="00D142BF" w:rsidRDefault="00D142BF" w:rsidP="00CA1DBB">
      <w:pPr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>ZA IZBOR ČLANOVA VIJEĆA MJESNIH ODBORA</w:t>
      </w:r>
    </w:p>
    <w:p w14:paraId="1115A081" w14:textId="77777777" w:rsidR="00D142BF" w:rsidRDefault="00D142BF" w:rsidP="00CA1DBB">
      <w:pPr>
        <w:jc w:val="both"/>
        <w:rPr>
          <w:rFonts w:ascii="Arial" w:hAnsi="Arial" w:cs="Arial"/>
        </w:rPr>
      </w:pPr>
    </w:p>
    <w:p w14:paraId="05BB2E69" w14:textId="1EACB9A2" w:rsidR="00D142BF" w:rsidRPr="00D142BF" w:rsidRDefault="00D142BF" w:rsidP="00D142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A3633C">
        <w:rPr>
          <w:rFonts w:ascii="Arial" w:hAnsi="Arial" w:cs="Arial"/>
        </w:rPr>
        <w:t>01</w:t>
      </w:r>
      <w:r w:rsidR="00F7178D">
        <w:rPr>
          <w:rFonts w:ascii="Arial" w:hAnsi="Arial" w:cs="Arial"/>
        </w:rPr>
        <w:t>2-02/24-01/6</w:t>
      </w:r>
    </w:p>
    <w:p w14:paraId="78F038CC" w14:textId="5D6BB578" w:rsidR="00D142BF" w:rsidRPr="00D142BF" w:rsidRDefault="00D142BF" w:rsidP="00D142BF">
      <w:pPr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 xml:space="preserve">URBROJ: </w:t>
      </w:r>
      <w:r w:rsidR="00A3633C">
        <w:rPr>
          <w:rFonts w:ascii="Arial" w:hAnsi="Arial" w:cs="Arial"/>
        </w:rPr>
        <w:t>21</w:t>
      </w:r>
      <w:r w:rsidR="00F7178D">
        <w:rPr>
          <w:rFonts w:ascii="Arial" w:hAnsi="Arial" w:cs="Arial"/>
        </w:rPr>
        <w:t>63-3-02-02-24-30</w:t>
      </w:r>
    </w:p>
    <w:p w14:paraId="32BFF554" w14:textId="596145FF" w:rsidR="00D142BF" w:rsidRDefault="00D142BF" w:rsidP="00D142BF">
      <w:pPr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 xml:space="preserve">Buzet, </w:t>
      </w:r>
      <w:r w:rsidR="00F7178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F7178D">
        <w:rPr>
          <w:rFonts w:ascii="Arial" w:hAnsi="Arial" w:cs="Arial"/>
        </w:rPr>
        <w:t>prosinca</w:t>
      </w:r>
      <w:r w:rsidRPr="00D142BF">
        <w:rPr>
          <w:rFonts w:ascii="Arial" w:hAnsi="Arial" w:cs="Arial"/>
        </w:rPr>
        <w:t xml:space="preserve"> 202</w:t>
      </w:r>
      <w:r w:rsidR="00F7178D">
        <w:rPr>
          <w:rFonts w:ascii="Arial" w:hAnsi="Arial" w:cs="Arial"/>
        </w:rPr>
        <w:t>4</w:t>
      </w:r>
      <w:r w:rsidRPr="00D142BF">
        <w:rPr>
          <w:rFonts w:ascii="Arial" w:hAnsi="Arial" w:cs="Arial"/>
        </w:rPr>
        <w:t>.</w:t>
      </w:r>
    </w:p>
    <w:p w14:paraId="09335DE1" w14:textId="77777777" w:rsidR="00D142BF" w:rsidRDefault="00D142BF" w:rsidP="00CA1DBB">
      <w:pPr>
        <w:jc w:val="both"/>
        <w:rPr>
          <w:rFonts w:ascii="Arial" w:hAnsi="Arial" w:cs="Arial"/>
        </w:rPr>
      </w:pPr>
    </w:p>
    <w:p w14:paraId="12A5235C" w14:textId="77777777" w:rsidR="00D142BF" w:rsidRDefault="00D142BF" w:rsidP="00CA1DBB">
      <w:pPr>
        <w:jc w:val="both"/>
        <w:rPr>
          <w:rFonts w:ascii="Arial" w:hAnsi="Arial" w:cs="Arial"/>
        </w:rPr>
      </w:pPr>
    </w:p>
    <w:p w14:paraId="644A30C0" w14:textId="51BC2A0A" w:rsidR="00EE2572" w:rsidRPr="00D142BF" w:rsidRDefault="00F7178D" w:rsidP="00D142BF">
      <w:pPr>
        <w:ind w:firstLine="708"/>
        <w:jc w:val="both"/>
        <w:rPr>
          <w:rFonts w:ascii="Arial" w:hAnsi="Arial" w:cs="Arial"/>
        </w:rPr>
      </w:pPr>
      <w:r w:rsidRPr="00F7178D">
        <w:rPr>
          <w:rFonts w:ascii="Arial" w:hAnsi="Arial" w:cs="Arial"/>
        </w:rPr>
        <w:t xml:space="preserve">Na temelju članka 53. Zakona o lokalnim izborima (Narodne novine broj NN 144/12, 121/16, 98/19, 42/20, 144/20, 37/21) te članka 29. i  30. Odluke o izboru članova vijeća mjesnih odbora na području Grada Buzeta („Službene novine Grada Buzeta“, broj 9/2024), </w:t>
      </w:r>
      <w:r w:rsidR="00BD5E6C" w:rsidRPr="00D142BF">
        <w:rPr>
          <w:rFonts w:ascii="Arial" w:hAnsi="Arial" w:cs="Arial"/>
        </w:rPr>
        <w:t>I</w:t>
      </w:r>
      <w:r w:rsidR="00514BBC" w:rsidRPr="00D142BF">
        <w:rPr>
          <w:rFonts w:ascii="Arial" w:hAnsi="Arial" w:cs="Arial"/>
        </w:rPr>
        <w:t>zborno p</w:t>
      </w:r>
      <w:r w:rsidR="00EE2572" w:rsidRPr="00D142BF">
        <w:rPr>
          <w:rFonts w:ascii="Arial" w:hAnsi="Arial" w:cs="Arial"/>
        </w:rPr>
        <w:t xml:space="preserve">ovjerenstvo </w:t>
      </w:r>
      <w:r w:rsidR="00BD5E6C" w:rsidRPr="00D142BF">
        <w:rPr>
          <w:rFonts w:ascii="Arial" w:hAnsi="Arial" w:cs="Arial"/>
        </w:rPr>
        <w:t xml:space="preserve">za izbor članova vijeća mjesnih odbora </w:t>
      </w:r>
      <w:r w:rsidR="00EC5CC2">
        <w:rPr>
          <w:rFonts w:ascii="Arial" w:hAnsi="Arial" w:cs="Arial"/>
        </w:rPr>
        <w:t xml:space="preserve">(u nastavku: </w:t>
      </w:r>
      <w:r w:rsidR="000B7572">
        <w:rPr>
          <w:rFonts w:ascii="Arial" w:hAnsi="Arial" w:cs="Arial"/>
        </w:rPr>
        <w:t>i</w:t>
      </w:r>
      <w:r w:rsidR="00EC5CC2">
        <w:rPr>
          <w:rFonts w:ascii="Arial" w:hAnsi="Arial" w:cs="Arial"/>
        </w:rPr>
        <w:t xml:space="preserve">zborno povjerenstvo) </w:t>
      </w:r>
      <w:r w:rsidR="005379BE" w:rsidRPr="00D142BF">
        <w:rPr>
          <w:rFonts w:ascii="Arial" w:hAnsi="Arial" w:cs="Arial"/>
        </w:rPr>
        <w:t>dana</w:t>
      </w:r>
      <w:r w:rsidR="00BD5E6C" w:rsidRPr="00D142BF">
        <w:rPr>
          <w:rFonts w:ascii="Arial" w:hAnsi="Arial" w:cs="Arial"/>
        </w:rPr>
        <w:t xml:space="preserve"> </w:t>
      </w:r>
      <w:r w:rsidR="00C60166">
        <w:rPr>
          <w:rFonts w:ascii="Arial" w:hAnsi="Arial" w:cs="Arial"/>
        </w:rPr>
        <w:t>2</w:t>
      </w:r>
      <w:r w:rsidR="00D142BF" w:rsidRPr="00D142BF">
        <w:rPr>
          <w:rFonts w:ascii="Arial" w:hAnsi="Arial" w:cs="Arial"/>
        </w:rPr>
        <w:t xml:space="preserve">. </w:t>
      </w:r>
      <w:r w:rsidR="00C60166">
        <w:rPr>
          <w:rFonts w:ascii="Arial" w:hAnsi="Arial" w:cs="Arial"/>
        </w:rPr>
        <w:t>prosinca</w:t>
      </w:r>
      <w:r w:rsidR="00D142BF" w:rsidRPr="00D142BF">
        <w:rPr>
          <w:rFonts w:ascii="Arial" w:hAnsi="Arial" w:cs="Arial"/>
        </w:rPr>
        <w:t xml:space="preserve"> </w:t>
      </w:r>
      <w:r w:rsidR="00692911" w:rsidRPr="00D142BF">
        <w:rPr>
          <w:rFonts w:ascii="Arial" w:hAnsi="Arial" w:cs="Arial"/>
        </w:rPr>
        <w:t>202</w:t>
      </w:r>
      <w:r w:rsidR="00C60166">
        <w:rPr>
          <w:rFonts w:ascii="Arial" w:hAnsi="Arial" w:cs="Arial"/>
        </w:rPr>
        <w:t>4</w:t>
      </w:r>
      <w:r w:rsidR="00692911" w:rsidRPr="00D142BF">
        <w:rPr>
          <w:rFonts w:ascii="Arial" w:hAnsi="Arial" w:cs="Arial"/>
        </w:rPr>
        <w:t xml:space="preserve">. </w:t>
      </w:r>
      <w:r w:rsidR="00EE2572" w:rsidRPr="00D142BF">
        <w:rPr>
          <w:rFonts w:ascii="Arial" w:hAnsi="Arial" w:cs="Arial"/>
        </w:rPr>
        <w:t>propisuje</w:t>
      </w:r>
    </w:p>
    <w:p w14:paraId="0D3D15A9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7B74BB0C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4838C693" w14:textId="77777777" w:rsidR="00EE2572" w:rsidRPr="005379BE" w:rsidRDefault="00EE2572" w:rsidP="00EE2572">
      <w:pPr>
        <w:pStyle w:val="Naslov2"/>
        <w:rPr>
          <w:rFonts w:ascii="Arial" w:hAnsi="Arial" w:cs="Arial"/>
          <w:sz w:val="28"/>
          <w:szCs w:val="28"/>
        </w:rPr>
      </w:pPr>
      <w:r w:rsidRPr="005379BE">
        <w:rPr>
          <w:rFonts w:ascii="Arial" w:hAnsi="Arial" w:cs="Arial"/>
          <w:sz w:val="28"/>
          <w:szCs w:val="28"/>
        </w:rPr>
        <w:t>OBVEZAT</w:t>
      </w:r>
      <w:r w:rsidR="00CC168D">
        <w:rPr>
          <w:rFonts w:ascii="Arial" w:hAnsi="Arial" w:cs="Arial"/>
          <w:sz w:val="28"/>
          <w:szCs w:val="28"/>
        </w:rPr>
        <w:t>NE UPUTE BROJ MSGB-</w:t>
      </w:r>
      <w:r w:rsidRPr="005379BE">
        <w:rPr>
          <w:rFonts w:ascii="Arial" w:hAnsi="Arial" w:cs="Arial"/>
          <w:sz w:val="28"/>
          <w:szCs w:val="28"/>
        </w:rPr>
        <w:t>V</w:t>
      </w:r>
    </w:p>
    <w:p w14:paraId="4526E220" w14:textId="77777777" w:rsidR="00EE2572" w:rsidRPr="005379BE" w:rsidRDefault="00EE2572" w:rsidP="00EE2572">
      <w:pPr>
        <w:jc w:val="center"/>
        <w:rPr>
          <w:rFonts w:ascii="Arial" w:hAnsi="Arial" w:cs="Arial"/>
          <w:b/>
        </w:rPr>
      </w:pPr>
      <w:r w:rsidRPr="005379BE">
        <w:rPr>
          <w:rFonts w:ascii="Arial" w:hAnsi="Arial" w:cs="Arial"/>
          <w:b/>
        </w:rPr>
        <w:t>o načinu uređenja prostorija u kojima će se glasovati na biračkom mjestu</w:t>
      </w:r>
    </w:p>
    <w:p w14:paraId="7FBDAE9A" w14:textId="77777777" w:rsidR="00EE2572" w:rsidRPr="005379BE" w:rsidRDefault="00EE2572" w:rsidP="00AB1FF9">
      <w:pPr>
        <w:rPr>
          <w:rFonts w:ascii="Arial" w:hAnsi="Arial" w:cs="Arial"/>
          <w:b/>
        </w:rPr>
      </w:pPr>
    </w:p>
    <w:p w14:paraId="2AE04701" w14:textId="2F2EB271" w:rsidR="00EE2572" w:rsidRPr="005379BE" w:rsidRDefault="00EE2572" w:rsidP="00EE2572">
      <w:pPr>
        <w:pStyle w:val="Tijeloteksta"/>
        <w:rPr>
          <w:rFonts w:ascii="Arial" w:hAnsi="Arial" w:cs="Arial"/>
        </w:rPr>
      </w:pPr>
      <w:r w:rsidRPr="005379BE">
        <w:rPr>
          <w:rFonts w:ascii="Arial" w:hAnsi="Arial" w:cs="Arial"/>
        </w:rPr>
        <w:tab/>
        <w:t xml:space="preserve">1. </w:t>
      </w:r>
      <w:r w:rsidR="00AB1FF9" w:rsidRPr="00AB1FF9">
        <w:rPr>
          <w:rFonts w:ascii="Arial" w:hAnsi="Arial" w:cs="Arial"/>
        </w:rPr>
        <w:t>U prostorijama u kojima će se glasovati mogu se isticati državni simboli u skladu s Ustavom R</w:t>
      </w:r>
      <w:r w:rsidR="000055F4">
        <w:rPr>
          <w:rFonts w:ascii="Arial" w:hAnsi="Arial" w:cs="Arial"/>
        </w:rPr>
        <w:t xml:space="preserve">epublike Hrvatske </w:t>
      </w:r>
      <w:r w:rsidR="00AB1FF9" w:rsidRPr="00AB1FF9">
        <w:rPr>
          <w:rFonts w:ascii="Arial" w:hAnsi="Arial" w:cs="Arial"/>
        </w:rPr>
        <w:t>i Zakonom o grbu, zastavi i himni R</w:t>
      </w:r>
      <w:r w:rsidR="000055F4">
        <w:rPr>
          <w:rFonts w:ascii="Arial" w:hAnsi="Arial" w:cs="Arial"/>
        </w:rPr>
        <w:t xml:space="preserve">epublike Hrvatske </w:t>
      </w:r>
      <w:r w:rsidR="00AB1FF9" w:rsidRPr="00AB1FF9">
        <w:rPr>
          <w:rFonts w:ascii="Arial" w:hAnsi="Arial" w:cs="Arial"/>
        </w:rPr>
        <w:t>te zastavi i lenti Predsjednika R</w:t>
      </w:r>
      <w:r w:rsidR="000055F4">
        <w:rPr>
          <w:rFonts w:ascii="Arial" w:hAnsi="Arial" w:cs="Arial"/>
        </w:rPr>
        <w:t>epublike Hrvatske</w:t>
      </w:r>
      <w:r w:rsidR="00AB1FF9" w:rsidRPr="00AB1FF9">
        <w:rPr>
          <w:rFonts w:ascii="Arial" w:hAnsi="Arial" w:cs="Arial"/>
        </w:rPr>
        <w:t xml:space="preserve">. U istim prostorijama mogu se isticati i obilježja </w:t>
      </w:r>
      <w:r w:rsidR="00AB1FF9">
        <w:rPr>
          <w:rFonts w:ascii="Arial" w:hAnsi="Arial" w:cs="Arial"/>
        </w:rPr>
        <w:t xml:space="preserve">Istarske </w:t>
      </w:r>
      <w:r w:rsidR="00AB1FF9" w:rsidRPr="00AB1FF9">
        <w:rPr>
          <w:rFonts w:ascii="Arial" w:hAnsi="Arial" w:cs="Arial"/>
        </w:rPr>
        <w:t>županij</w:t>
      </w:r>
      <w:r w:rsidR="00AB1FF9">
        <w:rPr>
          <w:rFonts w:ascii="Arial" w:hAnsi="Arial" w:cs="Arial"/>
        </w:rPr>
        <w:t>e i Grada Buzeta</w:t>
      </w:r>
      <w:r w:rsidRPr="005379BE">
        <w:rPr>
          <w:rFonts w:ascii="Arial" w:hAnsi="Arial" w:cs="Arial"/>
        </w:rPr>
        <w:t>.</w:t>
      </w:r>
    </w:p>
    <w:p w14:paraId="7910AAFB" w14:textId="77777777" w:rsidR="00EE2572" w:rsidRPr="005379BE" w:rsidRDefault="00EE2572" w:rsidP="00EE2572">
      <w:pPr>
        <w:pStyle w:val="Tijeloteksta"/>
        <w:rPr>
          <w:rFonts w:ascii="Arial" w:hAnsi="Arial" w:cs="Arial"/>
        </w:rPr>
      </w:pPr>
    </w:p>
    <w:p w14:paraId="0F7C532D" w14:textId="77777777" w:rsidR="00EE2572" w:rsidRPr="005379BE" w:rsidRDefault="00EE2572" w:rsidP="00EE257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ab/>
        <w:t>2. Prostorije u kojima će se glasovati moraju se urediti i opremiti na način da se osigura tajnost glasovanja, dakle tako da nitko iz ostalog dijela prostorije ne može vidjeti kako je glasač popunio glasački listić.</w:t>
      </w:r>
    </w:p>
    <w:p w14:paraId="2F8F9FB8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33EF1C6D" w14:textId="77777777" w:rsidR="00EE2572" w:rsidRPr="005379BE" w:rsidRDefault="00EE2572" w:rsidP="00EE257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ab/>
        <w:t>3. Birački odbor na svakom biračkom mjestu dužan je neposredno prije otvaranja birališta na vidljivo mjesto istaknuti sve kandidacijske liste s pregledno navedenim imenima svih kandidata za članove vijeća mjesnog odbora za koje se glasuje.</w:t>
      </w:r>
    </w:p>
    <w:p w14:paraId="77225F7B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7CB5E25F" w14:textId="77777777" w:rsidR="00AB1FF9" w:rsidRDefault="00EE2572" w:rsidP="009B3809">
      <w:pPr>
        <w:ind w:firstLine="708"/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>4. Ove Obvezatne upute stupaju na snagu danom donošenja, a objavit će se u Službenim novinama Grada Buzeta</w:t>
      </w:r>
      <w:r w:rsidR="000055F4">
        <w:rPr>
          <w:rFonts w:ascii="Arial" w:hAnsi="Arial" w:cs="Arial"/>
        </w:rPr>
        <w:t xml:space="preserve"> i web stranici Grada Buzeta.</w:t>
      </w:r>
    </w:p>
    <w:p w14:paraId="68BA5DE8" w14:textId="77777777" w:rsidR="005B5DA0" w:rsidRDefault="005B5DA0">
      <w:pPr>
        <w:rPr>
          <w:rFonts w:ascii="Arial" w:hAnsi="Arial" w:cs="Arial"/>
        </w:rPr>
      </w:pPr>
    </w:p>
    <w:p w14:paraId="50B16FD0" w14:textId="77777777" w:rsidR="000055F4" w:rsidRPr="00F7178D" w:rsidRDefault="000055F4" w:rsidP="000055F4">
      <w:pPr>
        <w:ind w:left="5664" w:firstLine="708"/>
        <w:rPr>
          <w:rFonts w:ascii="Arial" w:hAnsi="Arial" w:cs="Arial"/>
          <w:b/>
          <w:bCs/>
        </w:rPr>
      </w:pPr>
      <w:r w:rsidRPr="00F7178D">
        <w:rPr>
          <w:rFonts w:ascii="Arial" w:hAnsi="Arial" w:cs="Arial"/>
          <w:b/>
          <w:bCs/>
        </w:rPr>
        <w:t>PREDSJEDNICA</w:t>
      </w:r>
    </w:p>
    <w:p w14:paraId="421B52EF" w14:textId="6786B3A3" w:rsidR="000055F4" w:rsidRPr="00F7178D" w:rsidRDefault="000055F4" w:rsidP="000055F4">
      <w:pPr>
        <w:rPr>
          <w:rFonts w:ascii="Arial" w:hAnsi="Arial" w:cs="Arial"/>
          <w:b/>
          <w:bCs/>
        </w:rPr>
      </w:pPr>
      <w:r w:rsidRPr="00F7178D">
        <w:rPr>
          <w:rFonts w:ascii="Arial" w:hAnsi="Arial" w:cs="Arial"/>
          <w:b/>
          <w:bCs/>
        </w:rPr>
        <w:tab/>
      </w:r>
      <w:r w:rsidRPr="00F7178D">
        <w:rPr>
          <w:rFonts w:ascii="Arial" w:hAnsi="Arial" w:cs="Arial"/>
          <w:b/>
          <w:bCs/>
        </w:rPr>
        <w:tab/>
      </w:r>
      <w:r w:rsidRPr="00F7178D">
        <w:rPr>
          <w:rFonts w:ascii="Arial" w:hAnsi="Arial" w:cs="Arial"/>
          <w:b/>
          <w:bCs/>
        </w:rPr>
        <w:tab/>
      </w:r>
      <w:r w:rsidRPr="00F7178D">
        <w:rPr>
          <w:rFonts w:ascii="Arial" w:hAnsi="Arial" w:cs="Arial"/>
          <w:b/>
          <w:bCs/>
        </w:rPr>
        <w:tab/>
      </w:r>
      <w:r w:rsidRPr="00F7178D">
        <w:rPr>
          <w:rFonts w:ascii="Arial" w:hAnsi="Arial" w:cs="Arial"/>
          <w:b/>
          <w:bCs/>
        </w:rPr>
        <w:tab/>
      </w:r>
      <w:r w:rsidRPr="00F7178D">
        <w:rPr>
          <w:rFonts w:ascii="Arial" w:hAnsi="Arial" w:cs="Arial"/>
          <w:b/>
          <w:bCs/>
        </w:rPr>
        <w:tab/>
      </w:r>
      <w:r w:rsidRPr="00F7178D">
        <w:rPr>
          <w:rFonts w:ascii="Arial" w:hAnsi="Arial" w:cs="Arial"/>
          <w:b/>
          <w:bCs/>
        </w:rPr>
        <w:tab/>
      </w:r>
      <w:r w:rsidRPr="00F7178D">
        <w:rPr>
          <w:rFonts w:ascii="Arial" w:hAnsi="Arial" w:cs="Arial"/>
          <w:b/>
          <w:bCs/>
        </w:rPr>
        <w:tab/>
      </w:r>
      <w:r w:rsidR="00F7178D" w:rsidRPr="00F7178D">
        <w:rPr>
          <w:rFonts w:ascii="Arial" w:hAnsi="Arial" w:cs="Arial"/>
          <w:b/>
          <w:bCs/>
        </w:rPr>
        <w:t>Roberta Kalčić Savatović</w:t>
      </w:r>
      <w:r w:rsidR="0036791C" w:rsidRPr="00F7178D">
        <w:rPr>
          <w:rFonts w:ascii="Arial" w:hAnsi="Arial" w:cs="Arial"/>
          <w:b/>
          <w:bCs/>
        </w:rPr>
        <w:t xml:space="preserve">, v.r. </w:t>
      </w:r>
    </w:p>
    <w:p w14:paraId="2D496288" w14:textId="77777777" w:rsidR="000055F4" w:rsidRPr="005379BE" w:rsidRDefault="000055F4">
      <w:pPr>
        <w:rPr>
          <w:rFonts w:ascii="Arial" w:hAnsi="Arial" w:cs="Arial"/>
        </w:rPr>
      </w:pPr>
    </w:p>
    <w:sectPr w:rsidR="000055F4" w:rsidRPr="005379BE" w:rsidSect="005411F7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0F8EC" w14:textId="77777777" w:rsidR="002C4427" w:rsidRDefault="002C4427">
      <w:r>
        <w:separator/>
      </w:r>
    </w:p>
  </w:endnote>
  <w:endnote w:type="continuationSeparator" w:id="0">
    <w:p w14:paraId="5CC69554" w14:textId="77777777" w:rsidR="002C4427" w:rsidRDefault="002C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5CEB9" w14:textId="77777777" w:rsidR="002C4427" w:rsidRDefault="002C4427">
      <w:r>
        <w:separator/>
      </w:r>
    </w:p>
  </w:footnote>
  <w:footnote w:type="continuationSeparator" w:id="0">
    <w:p w14:paraId="1DBB81EE" w14:textId="77777777" w:rsidR="002C4427" w:rsidRDefault="002C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B0CA" w14:textId="77777777" w:rsidR="00113BBA" w:rsidRDefault="00113BBA" w:rsidP="00EE2572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0F70C00" w14:textId="77777777" w:rsidR="00113BBA" w:rsidRDefault="00113BBA" w:rsidP="00EE2572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CC55" w14:textId="77777777" w:rsidR="00113BBA" w:rsidRDefault="00113BBA">
    <w:pPr>
      <w:pStyle w:val="Zaglavlje"/>
    </w:pPr>
  </w:p>
  <w:p w14:paraId="790E96FE" w14:textId="77777777" w:rsidR="00113BBA" w:rsidRDefault="00113BBA">
    <w:pPr>
      <w:pStyle w:val="Zaglavlje"/>
    </w:pPr>
    <w:r>
      <w:tab/>
      <w:t xml:space="preserve">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902A1"/>
    <w:multiLevelType w:val="hybridMultilevel"/>
    <w:tmpl w:val="25AEF8A0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C3BF6"/>
    <w:multiLevelType w:val="hybridMultilevel"/>
    <w:tmpl w:val="194CCA46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70E1C"/>
    <w:multiLevelType w:val="hybridMultilevel"/>
    <w:tmpl w:val="0728EE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419D2"/>
    <w:multiLevelType w:val="hybridMultilevel"/>
    <w:tmpl w:val="81A874B2"/>
    <w:lvl w:ilvl="0" w:tplc="3AA4F0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98705B"/>
    <w:multiLevelType w:val="multilevel"/>
    <w:tmpl w:val="25AE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FA058F"/>
    <w:multiLevelType w:val="hybridMultilevel"/>
    <w:tmpl w:val="DDC0C8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5A2A93"/>
    <w:multiLevelType w:val="hybridMultilevel"/>
    <w:tmpl w:val="DE82D2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2511D"/>
    <w:multiLevelType w:val="hybridMultilevel"/>
    <w:tmpl w:val="250217B4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7530B5"/>
    <w:multiLevelType w:val="hybridMultilevel"/>
    <w:tmpl w:val="56823B1A"/>
    <w:lvl w:ilvl="0" w:tplc="7BA85A66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53F51"/>
    <w:multiLevelType w:val="hybridMultilevel"/>
    <w:tmpl w:val="83BA021E"/>
    <w:lvl w:ilvl="0" w:tplc="041A000F">
      <w:start w:val="1"/>
      <w:numFmt w:val="decimal"/>
      <w:lvlText w:val="%1."/>
      <w:lvlJc w:val="left"/>
      <w:pPr>
        <w:ind w:left="1430" w:hanging="360"/>
      </w:p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77927F61"/>
    <w:multiLevelType w:val="hybridMultilevel"/>
    <w:tmpl w:val="6644C1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421959"/>
    <w:multiLevelType w:val="hybridMultilevel"/>
    <w:tmpl w:val="4E4C3C8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4A5D43"/>
    <w:multiLevelType w:val="hybridMultilevel"/>
    <w:tmpl w:val="534AC4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C11C8"/>
    <w:multiLevelType w:val="hybridMultilevel"/>
    <w:tmpl w:val="D83CF33C"/>
    <w:lvl w:ilvl="0" w:tplc="5ACCA9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ms Rmn" w:hAnsi="Tms Rmn" w:cs="Tms Rm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0097864">
    <w:abstractNumId w:val="3"/>
  </w:num>
  <w:num w:numId="2" w16cid:durableId="1755277543">
    <w:abstractNumId w:val="10"/>
  </w:num>
  <w:num w:numId="3" w16cid:durableId="1272056879">
    <w:abstractNumId w:val="4"/>
  </w:num>
  <w:num w:numId="4" w16cid:durableId="1842887160">
    <w:abstractNumId w:val="8"/>
  </w:num>
  <w:num w:numId="5" w16cid:durableId="1788696261">
    <w:abstractNumId w:val="0"/>
  </w:num>
  <w:num w:numId="6" w16cid:durableId="957563103">
    <w:abstractNumId w:val="13"/>
  </w:num>
  <w:num w:numId="7" w16cid:durableId="1836191589">
    <w:abstractNumId w:val="12"/>
  </w:num>
  <w:num w:numId="8" w16cid:durableId="1216939255">
    <w:abstractNumId w:val="6"/>
  </w:num>
  <w:num w:numId="9" w16cid:durableId="1094596232">
    <w:abstractNumId w:val="5"/>
  </w:num>
  <w:num w:numId="10" w16cid:durableId="1803956870">
    <w:abstractNumId w:val="1"/>
  </w:num>
  <w:num w:numId="11" w16cid:durableId="1915626386">
    <w:abstractNumId w:val="2"/>
  </w:num>
  <w:num w:numId="12" w16cid:durableId="2013220066">
    <w:abstractNumId w:val="15"/>
  </w:num>
  <w:num w:numId="13" w16cid:durableId="1158107229">
    <w:abstractNumId w:val="7"/>
  </w:num>
  <w:num w:numId="14" w16cid:durableId="1169641978">
    <w:abstractNumId w:val="11"/>
  </w:num>
  <w:num w:numId="15" w16cid:durableId="577449004">
    <w:abstractNumId w:val="9"/>
  </w:num>
  <w:num w:numId="16" w16cid:durableId="13512217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572"/>
    <w:rsid w:val="000055F4"/>
    <w:rsid w:val="000468BC"/>
    <w:rsid w:val="000850D9"/>
    <w:rsid w:val="000A6887"/>
    <w:rsid w:val="000B7572"/>
    <w:rsid w:val="00113BBA"/>
    <w:rsid w:val="001161C1"/>
    <w:rsid w:val="00142A8E"/>
    <w:rsid w:val="001E3591"/>
    <w:rsid w:val="00255B2E"/>
    <w:rsid w:val="002C4427"/>
    <w:rsid w:val="002D185A"/>
    <w:rsid w:val="002F6B15"/>
    <w:rsid w:val="00307741"/>
    <w:rsid w:val="003441C3"/>
    <w:rsid w:val="0036791C"/>
    <w:rsid w:val="003E5DE8"/>
    <w:rsid w:val="00446EA6"/>
    <w:rsid w:val="0046317A"/>
    <w:rsid w:val="00464E99"/>
    <w:rsid w:val="004710FF"/>
    <w:rsid w:val="0049171D"/>
    <w:rsid w:val="004F5F78"/>
    <w:rsid w:val="005117AB"/>
    <w:rsid w:val="00514BBC"/>
    <w:rsid w:val="005379BE"/>
    <w:rsid w:val="005411F7"/>
    <w:rsid w:val="005974D9"/>
    <w:rsid w:val="005B5DA0"/>
    <w:rsid w:val="00692911"/>
    <w:rsid w:val="006A6B1D"/>
    <w:rsid w:val="00701B1B"/>
    <w:rsid w:val="0071668F"/>
    <w:rsid w:val="0075036C"/>
    <w:rsid w:val="00772A25"/>
    <w:rsid w:val="00775006"/>
    <w:rsid w:val="007828DF"/>
    <w:rsid w:val="00796770"/>
    <w:rsid w:val="007D7D30"/>
    <w:rsid w:val="00816C98"/>
    <w:rsid w:val="00847197"/>
    <w:rsid w:val="00906DCF"/>
    <w:rsid w:val="009140E9"/>
    <w:rsid w:val="009A0802"/>
    <w:rsid w:val="009B3809"/>
    <w:rsid w:val="009C3C46"/>
    <w:rsid w:val="009E15DB"/>
    <w:rsid w:val="00A3633C"/>
    <w:rsid w:val="00A51F7F"/>
    <w:rsid w:val="00A56A05"/>
    <w:rsid w:val="00A9115A"/>
    <w:rsid w:val="00AB1FF9"/>
    <w:rsid w:val="00AC19FA"/>
    <w:rsid w:val="00AE348E"/>
    <w:rsid w:val="00BA37AF"/>
    <w:rsid w:val="00BC6C41"/>
    <w:rsid w:val="00BD16D0"/>
    <w:rsid w:val="00BD5E6C"/>
    <w:rsid w:val="00BF2C3E"/>
    <w:rsid w:val="00C031D3"/>
    <w:rsid w:val="00C03FEC"/>
    <w:rsid w:val="00C51AEA"/>
    <w:rsid w:val="00C60166"/>
    <w:rsid w:val="00C7541D"/>
    <w:rsid w:val="00C7750B"/>
    <w:rsid w:val="00CA1DBB"/>
    <w:rsid w:val="00CC04C9"/>
    <w:rsid w:val="00CC168D"/>
    <w:rsid w:val="00CC30B8"/>
    <w:rsid w:val="00CE06C5"/>
    <w:rsid w:val="00CE415C"/>
    <w:rsid w:val="00D142BF"/>
    <w:rsid w:val="00D320AB"/>
    <w:rsid w:val="00D70A79"/>
    <w:rsid w:val="00D84946"/>
    <w:rsid w:val="00DA22C5"/>
    <w:rsid w:val="00DB6F46"/>
    <w:rsid w:val="00EC5CC2"/>
    <w:rsid w:val="00EE2572"/>
    <w:rsid w:val="00EF5CC2"/>
    <w:rsid w:val="00F2029C"/>
    <w:rsid w:val="00F24D47"/>
    <w:rsid w:val="00F55E11"/>
    <w:rsid w:val="00F7178D"/>
    <w:rsid w:val="00F81158"/>
    <w:rsid w:val="00FD544D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DC4F863"/>
  <w15:docId w15:val="{DC01C36B-0199-4745-8611-05CC6C53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4D9"/>
    <w:rPr>
      <w:sz w:val="24"/>
      <w:szCs w:val="24"/>
    </w:rPr>
  </w:style>
  <w:style w:type="paragraph" w:styleId="Naslov1">
    <w:name w:val="heading 1"/>
    <w:basedOn w:val="Normal"/>
    <w:next w:val="Normal"/>
    <w:qFormat/>
    <w:rsid w:val="00EE25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EE2572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EE25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EE2572"/>
    <w:pPr>
      <w:jc w:val="both"/>
    </w:pPr>
  </w:style>
  <w:style w:type="paragraph" w:styleId="Zaglavlje">
    <w:name w:val="header"/>
    <w:basedOn w:val="Normal"/>
    <w:rsid w:val="00EE257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EE257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EE2572"/>
  </w:style>
  <w:style w:type="paragraph" w:styleId="Odlomakpopisa">
    <w:name w:val="List Paragraph"/>
    <w:basedOn w:val="Normal"/>
    <w:uiPriority w:val="34"/>
    <w:qFormat/>
    <w:rsid w:val="001161C1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EF5CC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EF5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61</vt:lpstr>
      <vt:lpstr>Na temelju članka 61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61</dc:title>
  <dc:creator>Nenad Šćulac</dc:creator>
  <cp:lastModifiedBy>Roberta Kalčić Savatović</cp:lastModifiedBy>
  <cp:revision>10</cp:revision>
  <cp:lastPrinted>2020-02-06T13:42:00Z</cp:lastPrinted>
  <dcterms:created xsi:type="dcterms:W3CDTF">2020-02-05T13:37:00Z</dcterms:created>
  <dcterms:modified xsi:type="dcterms:W3CDTF">2024-12-02T14:35:00Z</dcterms:modified>
</cp:coreProperties>
</file>