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Arial" w:cs="Arial" w:hAnsi="Arial"/>
          <w:lang w:eastAsia="hr-HR"/>
        </w:rPr>
        <w:t xml:space="preserve">       </w:t>
      </w:r>
      <w:r>
        <w:rPr>
          <w:rFonts w:ascii="Arial" w:cs="Arial" w:hAnsi="Arial"/>
          <w:lang w:eastAsia="hr-HR"/>
        </w:rPr>
        <w:drawing>
          <wp:inline distB="0" distL="0" distR="0" distT="0">
            <wp:extent cx="791845" cy="83058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791845" cy="830580"/>
                    </a:xfrm>
                    <a:prstGeom prst="rect">
                      <a:avLst/>
                    </a:prstGeom>
                    <a:noFill/>
                    <a:ln w="9525">
                      <a:noFill/>
                      <a:miter lim="800000"/>
                      <a:headEnd/>
                      <a:tailEnd/>
                    </a:ln>
                  </pic:spPr>
                </pic:pic>
              </a:graphicData>
            </a:graphic>
          </wp:inline>
        </w:drawing>
      </w:r>
    </w:p>
    <w:p>
      <w:pPr>
        <w:pStyle w:val="style0"/>
        <w:spacing w:after="0" w:before="0" w:line="100" w:lineRule="atLeast"/>
        <w:contextualSpacing w:val="false"/>
      </w:pPr>
      <w:r>
        <w:rPr>
          <w:rFonts w:ascii="Arial" w:cs="Arial" w:hAnsi="Arial"/>
          <w:b/>
          <w:sz w:val="24"/>
          <w:szCs w:val="24"/>
        </w:rPr>
        <w:t>REPUBLIKA HRVATSKA</w:t>
      </w:r>
    </w:p>
    <w:p>
      <w:pPr>
        <w:pStyle w:val="style0"/>
        <w:spacing w:after="0" w:before="0" w:line="100" w:lineRule="atLeast"/>
        <w:contextualSpacing w:val="false"/>
      </w:pPr>
      <w:r>
        <w:rPr>
          <w:rFonts w:ascii="Arial" w:cs="Arial" w:hAnsi="Arial"/>
          <w:b/>
          <w:sz w:val="24"/>
          <w:szCs w:val="24"/>
        </w:rPr>
        <w:t xml:space="preserve">  </w:t>
      </w:r>
      <w:r>
        <w:rPr>
          <w:rFonts w:ascii="Arial" w:cs="Arial" w:hAnsi="Arial"/>
          <w:b/>
          <w:sz w:val="24"/>
          <w:szCs w:val="24"/>
        </w:rPr>
        <w:t>ISTARSKA ŽUPANIJA</w:t>
      </w:r>
    </w:p>
    <w:p>
      <w:pPr>
        <w:pStyle w:val="style0"/>
        <w:spacing w:after="0" w:before="0" w:line="100" w:lineRule="atLeast"/>
        <w:contextualSpacing w:val="false"/>
      </w:pPr>
      <w:r>
        <w:rPr>
          <w:rFonts w:ascii="Arial" w:cs="Arial" w:hAnsi="Arial"/>
          <w:b/>
          <w:sz w:val="24"/>
          <w:szCs w:val="24"/>
        </w:rPr>
        <w:t xml:space="preserve">        </w:t>
      </w:r>
      <w:r>
        <w:rPr>
          <w:rFonts w:ascii="Arial" w:cs="Arial" w:hAnsi="Arial"/>
          <w:b/>
          <w:sz w:val="24"/>
          <w:szCs w:val="24"/>
        </w:rPr>
        <w:t>GRAD BUZET</w:t>
      </w:r>
    </w:p>
    <w:p>
      <w:pPr>
        <w:pStyle w:val="style0"/>
        <w:spacing w:after="0" w:before="0" w:line="100" w:lineRule="atLeast"/>
        <w:contextualSpacing w:val="false"/>
      </w:pPr>
      <w:r>
        <w:rPr>
          <w:rFonts w:ascii="Arial" w:cs="Arial" w:hAnsi="Arial"/>
          <w:sz w:val="24"/>
          <w:szCs w:val="24"/>
        </w:rPr>
        <w:t>KLASA: 118-01/14-01/2</w:t>
      </w:r>
    </w:p>
    <w:p>
      <w:pPr>
        <w:pStyle w:val="style0"/>
        <w:spacing w:after="0" w:before="0" w:line="100" w:lineRule="atLeast"/>
        <w:contextualSpacing w:val="false"/>
      </w:pPr>
      <w:r>
        <w:rPr>
          <w:rFonts w:ascii="Arial" w:cs="Arial" w:hAnsi="Arial"/>
          <w:sz w:val="24"/>
          <w:szCs w:val="24"/>
        </w:rPr>
        <w:t>URBROJ: 2106/01-03-14-1</w:t>
      </w:r>
    </w:p>
    <w:p>
      <w:pPr>
        <w:pStyle w:val="style0"/>
        <w:spacing w:after="0" w:before="0" w:line="100" w:lineRule="atLeast"/>
        <w:contextualSpacing w:val="false"/>
      </w:pPr>
      <w:r>
        <w:rPr>
          <w:rFonts w:ascii="Arial" w:cs="Arial" w:hAnsi="Arial"/>
          <w:sz w:val="24"/>
          <w:szCs w:val="24"/>
        </w:rPr>
        <w:t>Buzet, 9. travnja 2014.</w:t>
      </w:r>
    </w:p>
    <w:p>
      <w:pPr>
        <w:pStyle w:val="style0"/>
        <w:spacing w:after="0" w:before="0" w:line="100" w:lineRule="atLeast"/>
        <w:contextualSpacing w:val="false"/>
      </w:pPr>
      <w:r>
        <w:rPr>
          <w:rFonts w:ascii="Arial" w:cs="Arial" w:hAnsi="Arial"/>
          <w:sz w:val="24"/>
          <w:szCs w:val="24"/>
        </w:rPr>
      </w:r>
    </w:p>
    <w:p>
      <w:pPr>
        <w:pStyle w:val="style0"/>
        <w:spacing w:after="0" w:before="0" w:line="100" w:lineRule="atLeast"/>
        <w:contextualSpacing w:val="false"/>
      </w:pPr>
      <w:r>
        <w:rPr>
          <w:rFonts w:ascii="Arial" w:cs="Arial" w:hAnsi="Arial"/>
          <w:sz w:val="24"/>
          <w:szCs w:val="24"/>
        </w:rPr>
      </w:r>
    </w:p>
    <w:p>
      <w:pPr>
        <w:pStyle w:val="style0"/>
        <w:spacing w:after="0" w:before="0" w:line="100" w:lineRule="atLeast"/>
        <w:contextualSpacing w:val="false"/>
        <w:jc w:val="both"/>
      </w:pPr>
      <w:r>
        <w:rPr>
          <w:rFonts w:ascii="Arial" w:cs="Arial" w:hAnsi="Arial"/>
          <w:sz w:val="24"/>
          <w:szCs w:val="24"/>
        </w:rPr>
        <w:t xml:space="preserve">Na temelju članka 93. Zakona o službenicima i namještenicima u lokalnoj i područnoj (regionalnoj) samoupravi („Narodne novine“, broj 86/08. i 61/11.) te </w:t>
      </w:r>
      <w:r>
        <w:rPr>
          <w:rFonts w:ascii="Arial" w:cs="Arial" w:hAnsi="Arial"/>
          <w:color w:val="000000"/>
          <w:sz w:val="24"/>
          <w:szCs w:val="24"/>
          <w:lang w:eastAsia="hr-HR"/>
        </w:rPr>
        <w:t xml:space="preserve">članka 1. stavak 2. Zakona o poticanju zapošljavanja („Narodne novine“, broj 57/12. i 120/12.), </w:t>
      </w:r>
      <w:r>
        <w:rPr>
          <w:rFonts w:ascii="Arial" w:cs="Arial" w:hAnsi="Arial"/>
          <w:sz w:val="24"/>
          <w:szCs w:val="24"/>
        </w:rPr>
        <w:t>Grad Buzet objavljuje</w:t>
      </w:r>
    </w:p>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contextualSpacing w:val="false"/>
        <w:jc w:val="center"/>
      </w:pPr>
      <w:r>
        <w:rPr>
          <w:rFonts w:ascii="Arial" w:cs="Arial" w:hAnsi="Arial"/>
          <w:b/>
          <w:sz w:val="28"/>
          <w:szCs w:val="28"/>
        </w:rPr>
        <w:t>JAVNI POZIV</w:t>
      </w:r>
    </w:p>
    <w:p>
      <w:pPr>
        <w:pStyle w:val="style0"/>
        <w:spacing w:after="0" w:before="0" w:line="100" w:lineRule="atLeast"/>
        <w:contextualSpacing w:val="false"/>
        <w:jc w:val="center"/>
      </w:pPr>
      <w:r>
        <w:rPr>
          <w:rFonts w:ascii="Arial" w:cs="Arial" w:hAnsi="Arial"/>
          <w:b/>
          <w:sz w:val="28"/>
          <w:szCs w:val="28"/>
        </w:rPr>
        <w:t>za dostavu prijava za osposobljavanje za rad</w:t>
      </w:r>
    </w:p>
    <w:p>
      <w:pPr>
        <w:pStyle w:val="style0"/>
        <w:spacing w:after="0" w:before="0" w:line="100" w:lineRule="atLeast"/>
        <w:contextualSpacing w:val="false"/>
        <w:jc w:val="center"/>
      </w:pPr>
      <w:r>
        <w:rPr>
          <w:rFonts w:ascii="Arial" w:cs="Arial" w:hAnsi="Arial"/>
          <w:b/>
          <w:sz w:val="28"/>
          <w:szCs w:val="28"/>
        </w:rPr>
        <w:t>bez zasnivanja radnog odnosa u upravnim tijelima Grada Buzeta</w:t>
      </w:r>
    </w:p>
    <w:p>
      <w:pPr>
        <w:pStyle w:val="style0"/>
        <w:spacing w:after="0" w:before="0" w:line="100" w:lineRule="atLeast"/>
        <w:contextualSpacing w:val="false"/>
        <w:jc w:val="both"/>
      </w:pPr>
      <w:r>
        <w:rPr>
          <w:rFonts w:ascii="Arial" w:cs="Arial" w:hAnsi="Arial"/>
          <w:b/>
          <w:sz w:val="24"/>
          <w:szCs w:val="24"/>
        </w:rPr>
      </w:r>
    </w:p>
    <w:p>
      <w:pPr>
        <w:pStyle w:val="style0"/>
        <w:spacing w:after="0" w:before="0" w:line="100" w:lineRule="atLeast"/>
        <w:contextualSpacing w:val="false"/>
        <w:jc w:val="both"/>
      </w:pPr>
      <w:r>
        <w:rPr>
          <w:rFonts w:ascii="Arial" w:cs="Arial" w:hAnsi="Arial"/>
          <w:b/>
          <w:sz w:val="24"/>
          <w:szCs w:val="24"/>
        </w:rPr>
      </w:r>
    </w:p>
    <w:p>
      <w:pPr>
        <w:pStyle w:val="style0"/>
        <w:spacing w:after="0" w:before="0" w:line="100" w:lineRule="atLeast"/>
        <w:contextualSpacing w:val="false"/>
        <w:jc w:val="center"/>
      </w:pPr>
      <w:r>
        <w:rPr>
          <w:rFonts w:ascii="Arial" w:cs="Arial" w:hAnsi="Arial"/>
          <w:sz w:val="24"/>
          <w:szCs w:val="24"/>
        </w:rPr>
        <w:t>1.</w:t>
      </w:r>
    </w:p>
    <w:p>
      <w:pPr>
        <w:pStyle w:val="style0"/>
        <w:spacing w:after="0" w:before="0" w:line="100" w:lineRule="atLeast"/>
        <w:ind w:firstLine="708" w:left="0" w:right="0"/>
        <w:contextualSpacing w:val="false"/>
        <w:jc w:val="both"/>
      </w:pPr>
      <w:r>
        <w:rPr>
          <w:rFonts w:ascii="Arial" w:cs="Arial" w:hAnsi="Arial"/>
          <w:sz w:val="24"/>
          <w:szCs w:val="24"/>
        </w:rPr>
        <w:t>Na temelju odredbi gore citiranog Zakona o poticanju zapošljavanja, a u cilju korištenja mjere aktivne politike zapošljavanja „Stručno osposobljavanje za rad bez zasnivanja radnog odnosa“ putem Hrvatskog zavoda za zapošljavanje Područne službe u Puli (u nastavku: HZZ), Grad Buzet iskazuje interes i potrebu za prijem polaznika na stručno osposobljavanje za rad bez zasnivanja radnog odnosa u upravna tijela Grada Buzeta.</w:t>
      </w:r>
    </w:p>
    <w:p>
      <w:pPr>
        <w:pStyle w:val="style0"/>
        <w:spacing w:after="0" w:before="0" w:line="100" w:lineRule="atLeast"/>
        <w:ind w:firstLine="708" w:left="0" w:right="0"/>
        <w:contextualSpacing w:val="false"/>
        <w:jc w:val="both"/>
      </w:pPr>
      <w:r>
        <w:rPr>
          <w:rFonts w:ascii="Arial" w:cs="Arial" w:hAnsi="Arial"/>
          <w:sz w:val="24"/>
          <w:szCs w:val="24"/>
        </w:rPr>
        <w:t>Izrazi koji se koriste u ovom javnom pozivu za osobe u muškom rodu uporabljeni su neutralno i odnose se na muške i ženske osobe.</w:t>
      </w:r>
    </w:p>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contextualSpacing w:val="false"/>
        <w:jc w:val="center"/>
      </w:pPr>
      <w:r>
        <w:rPr>
          <w:rFonts w:ascii="Arial" w:cs="Arial" w:hAnsi="Arial"/>
          <w:sz w:val="24"/>
          <w:szCs w:val="24"/>
        </w:rPr>
        <w:t>2.</w:t>
      </w:r>
    </w:p>
    <w:p>
      <w:pPr>
        <w:pStyle w:val="style0"/>
        <w:spacing w:after="0" w:before="0" w:line="100" w:lineRule="atLeast"/>
        <w:ind w:firstLine="708" w:left="0" w:right="0"/>
        <w:contextualSpacing w:val="false"/>
        <w:jc w:val="both"/>
      </w:pPr>
      <w:r>
        <w:rPr>
          <w:rFonts w:ascii="Arial" w:cs="Arial" w:hAnsi="Arial"/>
          <w:sz w:val="24"/>
          <w:szCs w:val="24"/>
          <w:lang w:eastAsia="hr-HR"/>
        </w:rPr>
        <w:t>Na ovaj poziv mogu se prijaviti nezaposlene osobe iz članka 2. stavak 1. podstavak 1. Zakona o poticanju zapošljavanja („Narodne novine“, broj 57/12. i 120/12.) koje, osim ispunjavanja uvjeta tražene stručne spreme iz članka 3. ovog Javnog poziva, pripadaju i ciljanoj skupini za primjenu mjere aktivne politike zapošljavanja „Stručno osposobljavanje za rad bez zasnivanja radnog odnosa“ putem Hrvatskog zavoda za zapošljavanje, a to su osobe:</w:t>
      </w:r>
    </w:p>
    <w:p>
      <w:pPr>
        <w:pStyle w:val="style0"/>
        <w:numPr>
          <w:ilvl w:val="0"/>
          <w:numId w:val="2"/>
        </w:numPr>
        <w:shd w:fill="FFFFFF" w:val="clear"/>
        <w:tabs>
          <w:tab w:leader="none" w:pos="1440" w:val="left"/>
        </w:tabs>
        <w:spacing w:after="0" w:before="0" w:line="100" w:lineRule="atLeast"/>
        <w:ind w:hanging="360" w:left="720" w:right="0"/>
        <w:contextualSpacing w:val="false"/>
        <w:jc w:val="both"/>
      </w:pPr>
      <w:r>
        <w:rPr>
          <w:rFonts w:ascii="Arial" w:cs="Arial" w:hAnsi="Arial"/>
          <w:sz w:val="24"/>
          <w:szCs w:val="24"/>
          <w:lang w:eastAsia="hr-HR"/>
        </w:rPr>
        <w:t xml:space="preserve">sa </w:t>
      </w:r>
      <w:r>
        <w:rPr>
          <w:rFonts w:ascii="Arial" w:cs="Arial" w:hAnsi="Arial"/>
          <w:sz w:val="24"/>
          <w:szCs w:val="24"/>
        </w:rPr>
        <w:t>završenim preddiplomskim, diplomskim ili integriranim preddiplomskim i diplomskim sveučilišnim studijem, odnosno preddiplomskom ili specijalističkim diplomskim stručnim studijem struke tražene člankom 3. ovog Javnog poziva,</w:t>
      </w:r>
    </w:p>
    <w:p>
      <w:pPr>
        <w:pStyle w:val="style0"/>
        <w:numPr>
          <w:ilvl w:val="0"/>
          <w:numId w:val="2"/>
        </w:numPr>
        <w:shd w:fill="FFFFFF" w:val="clear"/>
        <w:tabs>
          <w:tab w:leader="none" w:pos="1440" w:val="left"/>
        </w:tabs>
        <w:spacing w:after="0" w:before="0" w:line="100" w:lineRule="atLeast"/>
        <w:ind w:hanging="360" w:left="720" w:right="0"/>
        <w:contextualSpacing w:val="false"/>
        <w:jc w:val="both"/>
      </w:pPr>
      <w:r>
        <w:rPr>
          <w:rFonts w:ascii="Arial" w:cs="Arial" w:hAnsi="Arial"/>
          <w:sz w:val="24"/>
          <w:szCs w:val="24"/>
          <w:lang w:eastAsia="hr-HR"/>
        </w:rPr>
        <w:t>prijavljene u evidenciji nezaposlenih duže od 30 dana,</w:t>
      </w:r>
    </w:p>
    <w:p>
      <w:pPr>
        <w:pStyle w:val="style0"/>
        <w:numPr>
          <w:ilvl w:val="0"/>
          <w:numId w:val="2"/>
        </w:numPr>
        <w:shd w:fill="FFFFFF" w:val="clear"/>
        <w:tabs>
          <w:tab w:leader="none" w:pos="1440" w:val="left"/>
        </w:tabs>
        <w:spacing w:after="0" w:before="0" w:line="100" w:lineRule="atLeast"/>
        <w:ind w:hanging="360" w:left="720" w:right="0"/>
        <w:contextualSpacing w:val="false"/>
        <w:jc w:val="both"/>
      </w:pPr>
      <w:r>
        <w:rPr>
          <w:rFonts w:ascii="Arial" w:cs="Arial" w:hAnsi="Arial"/>
          <w:sz w:val="24"/>
          <w:szCs w:val="24"/>
          <w:lang w:eastAsia="hr-HR"/>
        </w:rPr>
        <w:t>koje imaju do godine dana evidentiranog staža u zvanju za koje su se obrazovale, neovisno o ukupno evidentiranom stažu u mirovinskom osiguranju.</w:t>
      </w:r>
    </w:p>
    <w:p>
      <w:pPr>
        <w:pStyle w:val="style0"/>
        <w:shd w:fill="FFFFFF" w:val="clear"/>
        <w:spacing w:after="0" w:before="0" w:line="100" w:lineRule="atLeast"/>
        <w:contextualSpacing w:val="false"/>
      </w:pPr>
      <w:r>
        <w:rPr>
          <w:rFonts w:ascii="Arial" w:cs="Arial" w:hAnsi="Arial"/>
          <w:bCs/>
          <w:sz w:val="20"/>
          <w:szCs w:val="20"/>
          <w:lang w:eastAsia="hr-HR"/>
        </w:rPr>
      </w:r>
    </w:p>
    <w:p>
      <w:pPr>
        <w:pStyle w:val="style0"/>
        <w:shd w:fill="FFFFFF" w:val="clear"/>
        <w:spacing w:after="0" w:before="0" w:line="100" w:lineRule="atLeast"/>
        <w:contextualSpacing w:val="false"/>
      </w:pPr>
      <w:r>
        <w:rPr>
          <w:rFonts w:ascii="Arial" w:cs="Arial" w:hAnsi="Arial"/>
          <w:bCs/>
          <w:sz w:val="20"/>
          <w:szCs w:val="20"/>
          <w:lang w:eastAsia="hr-HR"/>
        </w:rPr>
      </w:r>
    </w:p>
    <w:p>
      <w:pPr>
        <w:pStyle w:val="style0"/>
        <w:shd w:fill="FFFFFF" w:val="clear"/>
        <w:spacing w:after="0" w:before="0" w:line="100" w:lineRule="atLeast"/>
        <w:contextualSpacing w:val="false"/>
      </w:pPr>
      <w:r>
        <w:rPr>
          <w:rFonts w:ascii="Arial" w:cs="Arial" w:hAnsi="Arial"/>
          <w:bCs/>
          <w:sz w:val="20"/>
          <w:szCs w:val="20"/>
          <w:lang w:eastAsia="hr-HR"/>
        </w:rPr>
      </w:r>
    </w:p>
    <w:p>
      <w:pPr>
        <w:pStyle w:val="style0"/>
        <w:shd w:fill="FFFFFF" w:val="clear"/>
        <w:spacing w:after="0" w:before="0" w:line="100" w:lineRule="atLeast"/>
        <w:contextualSpacing w:val="false"/>
      </w:pPr>
      <w:r>
        <w:rPr>
          <w:rFonts w:ascii="Arial" w:cs="Arial" w:hAnsi="Arial"/>
          <w:bCs/>
          <w:sz w:val="20"/>
          <w:szCs w:val="20"/>
          <w:lang w:eastAsia="hr-HR"/>
        </w:rPr>
      </w:r>
    </w:p>
    <w:p>
      <w:pPr>
        <w:pStyle w:val="style0"/>
        <w:shd w:fill="FFFFFF" w:val="clear"/>
        <w:spacing w:after="0" w:before="0" w:line="100" w:lineRule="atLeast"/>
        <w:contextualSpacing w:val="false"/>
      </w:pPr>
      <w:r>
        <w:rPr>
          <w:rFonts w:ascii="Arial" w:cs="Arial" w:hAnsi="Arial"/>
          <w:bCs/>
          <w:sz w:val="20"/>
          <w:szCs w:val="20"/>
          <w:lang w:eastAsia="hr-HR"/>
        </w:rPr>
      </w:r>
    </w:p>
    <w:p>
      <w:pPr>
        <w:pStyle w:val="style0"/>
        <w:shd w:fill="FFFFFF" w:val="clear"/>
        <w:spacing w:after="0" w:before="0" w:line="100" w:lineRule="atLeast"/>
        <w:contextualSpacing w:val="false"/>
      </w:pPr>
      <w:r>
        <w:rPr>
          <w:rFonts w:ascii="Arial" w:cs="Arial" w:hAnsi="Arial"/>
          <w:bCs/>
          <w:sz w:val="20"/>
          <w:szCs w:val="20"/>
          <w:lang w:eastAsia="hr-HR"/>
        </w:rPr>
      </w:r>
    </w:p>
    <w:p>
      <w:pPr>
        <w:pStyle w:val="style0"/>
        <w:shd w:fill="FFFFFF" w:val="clear"/>
        <w:spacing w:after="0" w:before="0" w:line="100" w:lineRule="atLeast"/>
        <w:contextualSpacing w:val="false"/>
        <w:jc w:val="center"/>
      </w:pPr>
      <w:r>
        <w:rPr>
          <w:rFonts w:ascii="Arial" w:cs="Arial" w:hAnsi="Arial"/>
          <w:bCs/>
          <w:sz w:val="24"/>
          <w:szCs w:val="24"/>
          <w:lang w:eastAsia="hr-HR"/>
        </w:rPr>
        <w:t>3.</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Na temelju Plana prijma na stručno osposobljavanje bez zasnivanja radnog odnosa u Grad Buzetu za 2014. godinu (KLASA: 120-01/14-01/1, URBROJ: 2106/01-03-14-2) od 2. siječnja 2014. godine, utvrđene su potrebe za prijmom na stručno  osposobljavanje bez zasnivanja radnog odnosa u trajanju od 12 mjeseci, kako slijedi:</w:t>
      </w:r>
    </w:p>
    <w:p>
      <w:pPr>
        <w:pStyle w:val="style0"/>
        <w:numPr>
          <w:ilvl w:val="0"/>
          <w:numId w:val="3"/>
        </w:numPr>
        <w:shd w:fill="FFFFFF" w:val="clear"/>
        <w:spacing w:after="0" w:before="0" w:line="100" w:lineRule="atLeast"/>
        <w:contextualSpacing w:val="false"/>
        <w:jc w:val="both"/>
      </w:pPr>
      <w:r>
        <w:rPr>
          <w:rFonts w:ascii="Arial" w:cs="Arial" w:hAnsi="Arial"/>
          <w:sz w:val="24"/>
          <w:szCs w:val="24"/>
          <w:lang w:eastAsia="hr-HR"/>
        </w:rPr>
        <w:t xml:space="preserve">1 polaznik - </w:t>
      </w:r>
      <w:r>
        <w:rPr>
          <w:rFonts w:ascii="Arial" w:cs="Arial" w:hAnsi="Arial"/>
          <w:sz w:val="24"/>
          <w:szCs w:val="24"/>
        </w:rPr>
        <w:t>magistar ili stručni specijalist ekonomske ili tehničke struke</w:t>
      </w:r>
      <w:r>
        <w:rPr>
          <w:rFonts w:ascii="Arial" w:cs="Arial" w:hAnsi="Arial"/>
          <w:sz w:val="24"/>
          <w:szCs w:val="24"/>
          <w:lang w:eastAsia="hr-HR"/>
        </w:rPr>
        <w:t xml:space="preserve"> za radno mjesto razine višeg savjetnika za financije u Upravnom odjelu za financije i gospodarstvo,</w:t>
      </w:r>
    </w:p>
    <w:p>
      <w:pPr>
        <w:pStyle w:val="style0"/>
        <w:numPr>
          <w:ilvl w:val="0"/>
          <w:numId w:val="3"/>
        </w:numPr>
        <w:shd w:fill="FFFFFF" w:val="clear"/>
        <w:spacing w:after="0" w:before="0" w:line="100" w:lineRule="atLeast"/>
        <w:contextualSpacing w:val="false"/>
        <w:jc w:val="both"/>
      </w:pPr>
      <w:r>
        <w:rPr>
          <w:rFonts w:ascii="Arial" w:cs="Arial" w:hAnsi="Arial"/>
          <w:sz w:val="24"/>
          <w:szCs w:val="24"/>
          <w:lang w:eastAsia="hr-HR"/>
        </w:rPr>
        <w:t>1 polaznik - stručni prvostupnik ekonomske struke za radno mjesto razine stručnog suradnika za financijsko knjigovodstvo u Upravnom odjelu za financije i gospodarstvo,</w:t>
      </w:r>
    </w:p>
    <w:p>
      <w:pPr>
        <w:pStyle w:val="style0"/>
        <w:numPr>
          <w:ilvl w:val="0"/>
          <w:numId w:val="3"/>
        </w:numPr>
        <w:shd w:fill="FFFFFF" w:val="clear"/>
        <w:spacing w:after="0" w:before="0" w:line="100" w:lineRule="atLeast"/>
        <w:contextualSpacing w:val="false"/>
        <w:jc w:val="both"/>
      </w:pPr>
      <w:r>
        <w:rPr>
          <w:rFonts w:ascii="Arial" w:cs="Arial" w:hAnsi="Arial"/>
          <w:sz w:val="24"/>
          <w:szCs w:val="24"/>
          <w:lang w:eastAsia="hr-HR"/>
        </w:rPr>
        <w:t>1 polaznik - magistar ili stručni specijalist pravne, ekonomske ili druge društvene struke za radno mjesto razine višeg savjetnika za društvene djelatnosti u Upravnom odjelu za društvene djelatnosti i razvojne projekte,</w:t>
      </w:r>
    </w:p>
    <w:p>
      <w:pPr>
        <w:pStyle w:val="style0"/>
        <w:shd w:fill="FFFFFF" w:val="clear"/>
        <w:spacing w:after="0" w:before="0" w:line="100" w:lineRule="atLeast"/>
        <w:contextualSpacing w:val="false"/>
        <w:jc w:val="both"/>
      </w:pPr>
      <w:r>
        <w:rPr>
          <w:rFonts w:ascii="Arial" w:cs="Arial" w:hAnsi="Arial"/>
          <w:sz w:val="24"/>
          <w:szCs w:val="24"/>
          <w:lang w:eastAsia="hr-HR"/>
        </w:rPr>
      </w:r>
    </w:p>
    <w:p>
      <w:pPr>
        <w:pStyle w:val="style0"/>
        <w:shd w:fill="FFFFFF" w:val="clear"/>
        <w:spacing w:after="0" w:before="0" w:line="100" w:lineRule="atLeast"/>
        <w:contextualSpacing w:val="false"/>
        <w:jc w:val="center"/>
      </w:pPr>
      <w:r>
        <w:rPr>
          <w:rFonts w:ascii="Arial" w:cs="Arial" w:hAnsi="Arial"/>
          <w:sz w:val="24"/>
          <w:szCs w:val="24"/>
          <w:lang w:eastAsia="hr-HR"/>
        </w:rPr>
        <w:t>4.</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Kandidati koji ispunjavaju tražene uvjete dužni su uz prijavu dostaviti:</w:t>
      </w:r>
    </w:p>
    <w:p>
      <w:pPr>
        <w:pStyle w:val="style26"/>
        <w:numPr>
          <w:ilvl w:val="0"/>
          <w:numId w:val="1"/>
        </w:numPr>
        <w:shd w:fill="FFFFFF" w:val="clear"/>
        <w:spacing w:after="0" w:before="0" w:line="100" w:lineRule="atLeast"/>
        <w:ind w:hanging="357" w:left="714" w:right="0"/>
        <w:contextualSpacing/>
        <w:jc w:val="both"/>
      </w:pPr>
      <w:r>
        <w:rPr>
          <w:rFonts w:ascii="Arial" w:cs="Arial" w:hAnsi="Arial"/>
          <w:sz w:val="24"/>
          <w:szCs w:val="24"/>
          <w:lang w:eastAsia="hr-HR"/>
        </w:rPr>
        <w:t>kratki životopis,</w:t>
      </w:r>
    </w:p>
    <w:p>
      <w:pPr>
        <w:pStyle w:val="style26"/>
        <w:numPr>
          <w:ilvl w:val="0"/>
          <w:numId w:val="1"/>
        </w:numPr>
        <w:shd w:fill="FFFFFF" w:val="clear"/>
        <w:spacing w:after="0" w:before="0" w:line="100" w:lineRule="atLeast"/>
        <w:ind w:hanging="357" w:left="714" w:right="0"/>
        <w:contextualSpacing/>
        <w:jc w:val="both"/>
      </w:pPr>
      <w:r>
        <w:rPr>
          <w:rFonts w:ascii="Arial" w:cs="Arial" w:hAnsi="Arial"/>
          <w:sz w:val="24"/>
          <w:szCs w:val="24"/>
          <w:lang w:eastAsia="hr-HR"/>
        </w:rPr>
        <w:t>presliku dokaza o hrvatskom državljanstvu,</w:t>
      </w:r>
    </w:p>
    <w:p>
      <w:pPr>
        <w:pStyle w:val="style26"/>
        <w:numPr>
          <w:ilvl w:val="0"/>
          <w:numId w:val="1"/>
        </w:numPr>
        <w:shd w:fill="FFFFFF" w:val="clear"/>
        <w:spacing w:after="0" w:before="0" w:line="100" w:lineRule="atLeast"/>
        <w:ind w:hanging="357" w:left="714" w:right="0"/>
        <w:contextualSpacing/>
        <w:jc w:val="both"/>
      </w:pPr>
      <w:r>
        <w:rPr>
          <w:rFonts w:ascii="Arial" w:cs="Arial" w:hAnsi="Arial"/>
          <w:sz w:val="24"/>
          <w:szCs w:val="24"/>
          <w:lang w:eastAsia="hr-HR"/>
        </w:rPr>
        <w:t>presliku diplome/svjedodžbe o stručnoj spremi,</w:t>
      </w:r>
    </w:p>
    <w:p>
      <w:pPr>
        <w:pStyle w:val="style26"/>
        <w:numPr>
          <w:ilvl w:val="0"/>
          <w:numId w:val="1"/>
        </w:numPr>
        <w:shd w:fill="FFFFFF" w:val="clear"/>
        <w:spacing w:after="0" w:before="0" w:line="100" w:lineRule="atLeast"/>
        <w:ind w:hanging="357" w:left="714" w:right="0"/>
        <w:contextualSpacing/>
        <w:jc w:val="both"/>
      </w:pPr>
      <w:r>
        <w:rPr>
          <w:rFonts w:ascii="Arial" w:cs="Arial" w:hAnsi="Arial"/>
          <w:color w:val="000000"/>
          <w:sz w:val="24"/>
          <w:szCs w:val="24"/>
        </w:rPr>
        <w:t>presliku radne knjižice s osobnim podacima i podacima o radnom stažu ili elektronički zapis o podacima evidentiranim u bazi podataka Hrvatskog zavoda za mirovinsko osiguranje</w:t>
      </w:r>
      <w:r>
        <w:rPr>
          <w:rFonts w:ascii="Arial" w:cs="Arial" w:hAnsi="Arial"/>
          <w:sz w:val="24"/>
          <w:szCs w:val="24"/>
          <w:lang w:eastAsia="hr-HR"/>
        </w:rPr>
        <w:t>,</w:t>
      </w:r>
    </w:p>
    <w:p>
      <w:pPr>
        <w:pStyle w:val="style26"/>
        <w:numPr>
          <w:ilvl w:val="0"/>
          <w:numId w:val="1"/>
        </w:numPr>
        <w:shd w:fill="FFFFFF" w:val="clear"/>
        <w:spacing w:after="0" w:before="0" w:line="100" w:lineRule="atLeast"/>
        <w:ind w:hanging="357" w:left="714" w:right="0"/>
        <w:contextualSpacing/>
        <w:jc w:val="both"/>
      </w:pPr>
      <w:r>
        <w:rPr>
          <w:rFonts w:ascii="Arial" w:cs="Arial" w:hAnsi="Arial"/>
          <w:sz w:val="24"/>
          <w:szCs w:val="24"/>
          <w:lang w:eastAsia="hr-HR"/>
        </w:rPr>
        <w:t>uvjerenje da se protiv kandidata ne vodi kazneni postupak odnosno da nije pravomoćno osuđen za kaznena djela iz članka 15. Zakona o službenicima i namještenicima u lokalnoj i područnoj (regionalnoj) samoupravi („Narodne novine“, broj 86/08. i 61/11.) - ne starije od 6 mjeseci,</w:t>
      </w:r>
    </w:p>
    <w:p>
      <w:pPr>
        <w:pStyle w:val="style26"/>
        <w:numPr>
          <w:ilvl w:val="0"/>
          <w:numId w:val="1"/>
        </w:numPr>
        <w:shd w:fill="FFFFFF" w:val="clear"/>
        <w:spacing w:after="0" w:before="0" w:line="100" w:lineRule="atLeast"/>
        <w:ind w:hanging="357" w:left="714" w:right="0"/>
        <w:contextualSpacing/>
        <w:jc w:val="both"/>
      </w:pPr>
      <w:r>
        <w:rPr>
          <w:rFonts w:ascii="Arial" w:cs="Arial" w:hAnsi="Arial"/>
          <w:sz w:val="24"/>
          <w:szCs w:val="24"/>
          <w:lang w:eastAsia="hr-HR"/>
        </w:rPr>
        <w:t>uvjerenje Hrvatskog zavoda za zapošljavanje (dokaz o prijavi u evidenciju nezaposlenih).</w:t>
      </w:r>
    </w:p>
    <w:p>
      <w:pPr>
        <w:pStyle w:val="style0"/>
        <w:spacing w:after="0" w:before="0" w:line="100" w:lineRule="atLeast"/>
        <w:ind w:firstLine="708" w:left="0" w:right="0"/>
        <w:contextualSpacing w:val="false"/>
        <w:jc w:val="both"/>
      </w:pPr>
      <w:r>
        <w:rPr>
          <w:rFonts w:ascii="Arial" w:cs="Arial" w:hAnsi="Arial"/>
          <w:sz w:val="24"/>
          <w:szCs w:val="24"/>
        </w:rPr>
        <w:t>Ako kandidat ostvaruje pravo na prednost pri zapošljavanju prema posebnom zakonu, dužan je u prijavi na javni poziv pozvati se na to pravo i ima prednost u odnosu na ostale kandidate samo pod jednakim uvjetima.</w:t>
      </w:r>
    </w:p>
    <w:p>
      <w:pPr>
        <w:pStyle w:val="style0"/>
        <w:shd w:fill="FFFFFF" w:val="clear"/>
        <w:spacing w:after="0" w:before="0" w:line="100" w:lineRule="atLeast"/>
        <w:contextualSpacing w:val="false"/>
      </w:pPr>
      <w:r>
        <w:rPr>
          <w:rFonts w:ascii="Arial" w:cs="Arial" w:hAnsi="Arial"/>
          <w:sz w:val="24"/>
          <w:szCs w:val="24"/>
          <w:lang w:eastAsia="hr-HR"/>
        </w:rPr>
      </w:r>
    </w:p>
    <w:p>
      <w:pPr>
        <w:pStyle w:val="style0"/>
        <w:shd w:fill="FFFFFF" w:val="clear"/>
        <w:spacing w:after="0" w:before="0" w:line="100" w:lineRule="atLeast"/>
        <w:contextualSpacing w:val="false"/>
        <w:jc w:val="center"/>
      </w:pPr>
      <w:r>
        <w:rPr>
          <w:rFonts w:ascii="Arial" w:cs="Arial" w:hAnsi="Arial"/>
          <w:sz w:val="24"/>
          <w:szCs w:val="24"/>
          <w:lang w:eastAsia="hr-HR"/>
        </w:rPr>
        <w:t>5.</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Stručno osposobljavanje za rad bez zasnivanja radnog odnosa obavlja se:</w:t>
      </w:r>
    </w:p>
    <w:p>
      <w:pPr>
        <w:pStyle w:val="style0"/>
        <w:numPr>
          <w:ilvl w:val="0"/>
          <w:numId w:val="1"/>
        </w:numPr>
        <w:shd w:fill="FFFFFF" w:val="clear"/>
        <w:spacing w:after="0" w:before="0" w:line="100" w:lineRule="atLeast"/>
        <w:contextualSpacing w:val="false"/>
        <w:jc w:val="both"/>
      </w:pPr>
      <w:r>
        <w:rPr>
          <w:rFonts w:ascii="Arial" w:cs="Arial" w:hAnsi="Arial"/>
          <w:sz w:val="24"/>
          <w:szCs w:val="24"/>
          <w:lang w:eastAsia="hr-HR"/>
        </w:rPr>
        <w:t>na temelju pisanog ugovora o stručnom osposobljavanju za rad bez zasnivanja radnog odnosa,</w:t>
      </w:r>
    </w:p>
    <w:p>
      <w:pPr>
        <w:pStyle w:val="style0"/>
        <w:numPr>
          <w:ilvl w:val="0"/>
          <w:numId w:val="1"/>
        </w:numPr>
        <w:shd w:fill="FFFFFF" w:val="clear"/>
        <w:spacing w:after="0" w:before="0" w:line="100" w:lineRule="atLeast"/>
        <w:contextualSpacing w:val="false"/>
        <w:jc w:val="both"/>
      </w:pPr>
      <w:r>
        <w:rPr>
          <w:rFonts w:ascii="Arial" w:cs="Arial" w:hAnsi="Arial"/>
          <w:sz w:val="24"/>
          <w:szCs w:val="24"/>
          <w:lang w:eastAsia="hr-HR"/>
        </w:rPr>
        <w:t>prema programu stručnog osposobljavanja za rad,</w:t>
      </w:r>
    </w:p>
    <w:p>
      <w:pPr>
        <w:pStyle w:val="style0"/>
        <w:numPr>
          <w:ilvl w:val="0"/>
          <w:numId w:val="1"/>
        </w:numPr>
        <w:shd w:fill="FFFFFF" w:val="clear"/>
        <w:spacing w:after="0" w:before="0" w:line="100" w:lineRule="atLeast"/>
        <w:contextualSpacing w:val="false"/>
        <w:jc w:val="both"/>
      </w:pPr>
      <w:r>
        <w:rPr>
          <w:rFonts w:ascii="Arial" w:cs="Arial" w:hAnsi="Arial"/>
          <w:sz w:val="24"/>
          <w:szCs w:val="24"/>
          <w:lang w:eastAsia="hr-HR"/>
        </w:rPr>
        <w:t>pod vodstvom mentora.</w:t>
      </w:r>
    </w:p>
    <w:p>
      <w:pPr>
        <w:pStyle w:val="style0"/>
        <w:shd w:fill="FFFFFF" w:val="clear"/>
        <w:spacing w:after="0" w:before="0" w:line="100" w:lineRule="atLeast"/>
        <w:contextualSpacing w:val="false"/>
        <w:jc w:val="both"/>
      </w:pPr>
      <w:r>
        <w:rPr>
          <w:rFonts w:ascii="Arial" w:cs="Arial" w:hAnsi="Arial"/>
          <w:sz w:val="24"/>
          <w:szCs w:val="24"/>
          <w:lang w:eastAsia="hr-HR"/>
        </w:rPr>
      </w:r>
    </w:p>
    <w:p>
      <w:pPr>
        <w:pStyle w:val="style0"/>
        <w:shd w:fill="FFFFFF" w:val="clear"/>
        <w:spacing w:after="0" w:before="0" w:line="100" w:lineRule="atLeast"/>
        <w:contextualSpacing w:val="false"/>
        <w:jc w:val="center"/>
      </w:pPr>
      <w:r>
        <w:rPr>
          <w:rFonts w:ascii="Arial" w:cs="Arial" w:hAnsi="Arial"/>
          <w:sz w:val="24"/>
          <w:szCs w:val="24"/>
          <w:lang w:eastAsia="hr-HR"/>
        </w:rPr>
        <w:t>6.</w:t>
      </w:r>
    </w:p>
    <w:p>
      <w:pPr>
        <w:pStyle w:val="style0"/>
        <w:spacing w:after="0" w:before="0" w:line="100" w:lineRule="atLeast"/>
        <w:ind w:firstLine="708" w:left="0" w:right="0"/>
        <w:contextualSpacing w:val="false"/>
        <w:jc w:val="both"/>
      </w:pPr>
      <w:r>
        <w:rPr>
          <w:rFonts w:ascii="Arial" w:cs="Arial" w:hAnsi="Arial"/>
          <w:sz w:val="24"/>
          <w:szCs w:val="24"/>
        </w:rPr>
        <w:t>Za kandidate prijavljene na oglas koji ispunjavaju formalne uvjete oglasa, provest će se prethodna provjera znanja i sposobnosti putem pisanog testiranja i intervjua. O načinu ispunjavanja te obveze kandidati će biti naknadno obaviješteni.</w:t>
      </w:r>
    </w:p>
    <w:p>
      <w:pPr>
        <w:pStyle w:val="style0"/>
        <w:spacing w:after="0" w:before="0" w:line="100" w:lineRule="atLeast"/>
        <w:ind w:firstLine="709" w:left="0" w:right="0"/>
        <w:contextualSpacing w:val="false"/>
        <w:jc w:val="both"/>
      </w:pPr>
      <w:r>
        <w:rPr>
          <w:rFonts w:ascii="Arial" w:cs="Arial" w:hAnsi="Arial"/>
          <w:sz w:val="24"/>
          <w:szCs w:val="24"/>
        </w:rPr>
        <w:t>Ako kandidat ne pristupi testiranju i/ili intervjuu, smatrat će se da je povukao prijavu na oglas.</w:t>
      </w:r>
    </w:p>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contextualSpacing w:val="false"/>
        <w:jc w:val="center"/>
      </w:pPr>
      <w:r>
        <w:rPr>
          <w:rFonts w:ascii="Arial" w:cs="Arial" w:hAnsi="Arial"/>
          <w:sz w:val="24"/>
          <w:szCs w:val="24"/>
        </w:rPr>
        <w:t>7.</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Polaznik stručnog osposobljavanja nema status službenika i nije u radnom odnosu.</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Doprinose za mirovinsko i zdravstveno osiguranje i zaštitu na radu snosi Hrvatski zavod za zapošljavanje i/ili Grad Buzet.</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Polazniku stručnog osposobljavanja za rad Hrvatski zavod za zapošljavanje isplaćuje novčanu pomoć u visini neoporezivog dijela studentske stipendije koja trenutno iznosi 1.600,00 kn mjesečno po potvrđenoj prisutnosti stručnom osposobljavanju za rad.</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Hrvatski zavod za zapošljavanje ne isplaćuje novčanu pomoć polazniku stručnog osposobljavanja za vrijeme privremene nesposobnosti za rad ili izostanka s programa stručnog osposobljavanja.</w:t>
      </w:r>
    </w:p>
    <w:p>
      <w:pPr>
        <w:pStyle w:val="style0"/>
        <w:shd w:fill="FFFFFF" w:val="clear"/>
        <w:spacing w:after="0" w:before="0" w:line="100" w:lineRule="atLeast"/>
        <w:contextualSpacing w:val="false"/>
      </w:pPr>
      <w:r>
        <w:rPr>
          <w:rFonts w:ascii="Arial" w:cs="Arial" w:hAnsi="Arial"/>
          <w:bCs/>
          <w:sz w:val="24"/>
          <w:szCs w:val="24"/>
          <w:lang w:eastAsia="hr-HR"/>
        </w:rPr>
      </w:r>
    </w:p>
    <w:p>
      <w:pPr>
        <w:pStyle w:val="style0"/>
        <w:shd w:fill="FFFFFF" w:val="clear"/>
        <w:spacing w:after="0" w:before="0" w:line="100" w:lineRule="atLeast"/>
        <w:contextualSpacing w:val="false"/>
        <w:jc w:val="center"/>
      </w:pPr>
      <w:r>
        <w:rPr>
          <w:rFonts w:ascii="Arial" w:cs="Arial" w:hAnsi="Arial"/>
          <w:bCs/>
          <w:sz w:val="24"/>
          <w:szCs w:val="24"/>
          <w:lang w:eastAsia="hr-HR"/>
        </w:rPr>
        <w:t>8.</w:t>
      </w:r>
    </w:p>
    <w:p>
      <w:pPr>
        <w:pStyle w:val="style0"/>
        <w:shd w:fill="FFFFFF" w:val="clear"/>
        <w:spacing w:after="0" w:before="0" w:line="100" w:lineRule="atLeast"/>
        <w:ind w:firstLine="708" w:left="0" w:right="0"/>
        <w:contextualSpacing w:val="false"/>
        <w:jc w:val="both"/>
      </w:pPr>
      <w:bookmarkStart w:id="0" w:name="_GoBack"/>
      <w:bookmarkEnd w:id="0"/>
      <w:r>
        <w:rPr>
          <w:rFonts w:ascii="Arial" w:cs="Arial" w:hAnsi="Arial"/>
          <w:sz w:val="24"/>
          <w:szCs w:val="24"/>
          <w:lang w:eastAsia="hr-HR"/>
        </w:rPr>
        <w:t>Prijave sa dokazima o ispunjavaju traženih uvjeta dostavljaju se u roku od 8 dana od dana objave ovog poziva na oglasnoj ploči Hrvatskog zavoda za zapošljavanje odnosno do 17. travnja 2014. godine na adresu:</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GRAD BUZET (za stručno osposobljavanje za rad bez zasnivanja radnog odnosa), II. istarske brigade 11, 52420 Buzet.</w:t>
      </w:r>
    </w:p>
    <w:p>
      <w:pPr>
        <w:pStyle w:val="style0"/>
        <w:shd w:fill="FFFFFF" w:val="clear"/>
        <w:spacing w:after="0" w:before="0" w:line="100" w:lineRule="atLeast"/>
        <w:contextualSpacing w:val="false"/>
      </w:pPr>
      <w:r>
        <w:rPr>
          <w:rFonts w:ascii="Arial" w:cs="Arial" w:hAnsi="Arial"/>
          <w:bCs/>
          <w:sz w:val="24"/>
          <w:szCs w:val="24"/>
          <w:lang w:eastAsia="hr-HR"/>
        </w:rPr>
      </w:r>
    </w:p>
    <w:p>
      <w:pPr>
        <w:pStyle w:val="style0"/>
        <w:shd w:fill="FFFFFF" w:val="clear"/>
        <w:spacing w:after="0" w:before="0" w:line="100" w:lineRule="atLeast"/>
        <w:contextualSpacing w:val="false"/>
        <w:jc w:val="center"/>
      </w:pPr>
      <w:r>
        <w:rPr>
          <w:rFonts w:ascii="Arial" w:cs="Arial" w:hAnsi="Arial"/>
          <w:bCs/>
          <w:sz w:val="24"/>
          <w:szCs w:val="24"/>
          <w:lang w:eastAsia="hr-HR"/>
        </w:rPr>
        <w:t>9.</w:t>
      </w:r>
    </w:p>
    <w:p>
      <w:pPr>
        <w:pStyle w:val="style0"/>
        <w:spacing w:after="0" w:before="0" w:line="100" w:lineRule="atLeast"/>
        <w:ind w:firstLine="708" w:left="0" w:right="0"/>
        <w:contextualSpacing w:val="false"/>
        <w:jc w:val="both"/>
      </w:pPr>
      <w:r>
        <w:rPr>
          <w:rFonts w:ascii="Arial" w:cs="Arial" w:hAnsi="Arial"/>
          <w:sz w:val="24"/>
          <w:szCs w:val="24"/>
        </w:rPr>
        <w:t>Osoba koja ne podnese pravodobnu i/ili urednu prijavu ili za koju se utvrdi da ne ispunjava formalne uvjete iz oglasa, neće se smatrati kandidatom prijavljenim na ovaj poziv. Urednom prijavom smatra se prijava koja sadrži sve podatke i priloge navedene u ovom pozivu.</w:t>
      </w:r>
    </w:p>
    <w:p>
      <w:pPr>
        <w:pStyle w:val="style0"/>
        <w:spacing w:after="0" w:before="0" w:line="100" w:lineRule="atLeast"/>
        <w:contextualSpacing w:val="false"/>
        <w:jc w:val="both"/>
      </w:pPr>
      <w:r>
        <w:rPr>
          <w:rFonts w:ascii="Arial" w:cs="Arial" w:hAnsi="Arial"/>
          <w:sz w:val="24"/>
          <w:szCs w:val="24"/>
        </w:rPr>
      </w:r>
    </w:p>
    <w:p>
      <w:pPr>
        <w:pStyle w:val="style0"/>
        <w:shd w:fill="FFFFFF" w:val="clear"/>
        <w:spacing w:after="0" w:before="0" w:line="100" w:lineRule="atLeast"/>
        <w:contextualSpacing w:val="false"/>
        <w:jc w:val="center"/>
      </w:pPr>
      <w:r>
        <w:rPr>
          <w:rFonts w:ascii="Arial" w:cs="Arial" w:hAnsi="Arial"/>
          <w:bCs/>
          <w:sz w:val="24"/>
          <w:szCs w:val="24"/>
          <w:lang w:eastAsia="hr-HR"/>
        </w:rPr>
        <w:t>10.</w:t>
      </w:r>
    </w:p>
    <w:p>
      <w:pPr>
        <w:pStyle w:val="style0"/>
        <w:shd w:fill="FFFFFF" w:val="clear"/>
        <w:spacing w:after="0" w:before="0" w:line="100" w:lineRule="atLeast"/>
        <w:ind w:firstLine="708" w:left="0" w:right="0"/>
        <w:contextualSpacing w:val="false"/>
        <w:jc w:val="both"/>
      </w:pPr>
      <w:r>
        <w:rPr>
          <w:rFonts w:ascii="Arial" w:cs="Arial" w:hAnsi="Arial"/>
          <w:sz w:val="24"/>
          <w:szCs w:val="24"/>
          <w:lang w:eastAsia="hr-HR"/>
        </w:rPr>
        <w:t>O rezultatima javnog poziva svi kandidati bit će obaviješteni pisanim putem. </w:t>
      </w:r>
    </w:p>
    <w:p>
      <w:pPr>
        <w:pStyle w:val="style0"/>
        <w:shd w:fill="FFFFFF" w:val="clear"/>
        <w:spacing w:after="0" w:before="0" w:line="100" w:lineRule="atLeast"/>
        <w:contextualSpacing w:val="false"/>
        <w:jc w:val="right"/>
      </w:pPr>
      <w:r>
        <w:rPr>
          <w:rFonts w:ascii="Arial" w:cs="Arial" w:hAnsi="Arial"/>
          <w:sz w:val="20"/>
          <w:szCs w:val="20"/>
          <w:lang w:eastAsia="hr-HR"/>
        </w:rPr>
      </w:r>
    </w:p>
    <w:p>
      <w:pPr>
        <w:pStyle w:val="style0"/>
        <w:shd w:fill="FFFFFF" w:val="clear"/>
        <w:spacing w:after="0" w:before="0" w:line="100" w:lineRule="atLeast"/>
        <w:contextualSpacing w:val="false"/>
      </w:pPr>
      <w:r>
        <w:rPr>
          <w:rFonts w:ascii="Arial" w:cs="Arial" w:hAnsi="Arial"/>
          <w:sz w:val="20"/>
          <w:szCs w:val="20"/>
          <w:lang w:eastAsia="hr-HR"/>
        </w:rPr>
      </w:r>
    </w:p>
    <w:p>
      <w:pPr>
        <w:pStyle w:val="style0"/>
        <w:shd w:fill="FFFFFF" w:val="clear"/>
        <w:spacing w:after="0" w:before="0" w:line="100" w:lineRule="atLeast"/>
        <w:contextualSpacing w:val="false"/>
      </w:pPr>
      <w:r>
        <w:rPr>
          <w:rFonts w:ascii="Arial" w:cs="Arial" w:hAnsi="Arial"/>
          <w:sz w:val="20"/>
          <w:szCs w:val="20"/>
          <w:lang w:eastAsia="hr-HR"/>
        </w:rPr>
      </w:r>
    </w:p>
    <w:p>
      <w:pPr>
        <w:pStyle w:val="style0"/>
        <w:shd w:fill="FFFFFF" w:val="clear"/>
        <w:spacing w:after="0" w:before="0" w:line="100" w:lineRule="atLeast"/>
        <w:contextualSpacing w:val="false"/>
      </w:pPr>
      <w:r>
        <w:rPr>
          <w:rFonts w:ascii="Arial" w:cs="Arial" w:hAnsi="Arial"/>
          <w:sz w:val="20"/>
          <w:szCs w:val="20"/>
          <w:lang w:eastAsia="hr-HR"/>
        </w:rPr>
      </w:r>
    </w:p>
    <w:p>
      <w:pPr>
        <w:pStyle w:val="style0"/>
        <w:shd w:fill="FFFFFF" w:val="clear"/>
        <w:spacing w:after="0" w:before="0" w:line="100" w:lineRule="atLeast"/>
        <w:contextualSpacing w:val="false"/>
      </w:pPr>
      <w:r>
        <w:rPr>
          <w:rFonts w:ascii="Arial" w:cs="Arial" w:hAnsi="Arial"/>
          <w:sz w:val="20"/>
          <w:szCs w:val="20"/>
          <w:lang w:eastAsia="hr-HR"/>
        </w:rPr>
      </w:r>
    </w:p>
    <w:p>
      <w:pPr>
        <w:pStyle w:val="style0"/>
        <w:shd w:fill="FFFFFF" w:val="clear"/>
        <w:spacing w:after="0" w:before="0" w:line="100" w:lineRule="atLeast"/>
        <w:contextualSpacing w:val="false"/>
        <w:jc w:val="right"/>
      </w:pPr>
      <w:r>
        <w:rPr>
          <w:rFonts w:ascii="Arial" w:cs="Arial" w:hAnsi="Arial"/>
          <w:sz w:val="24"/>
          <w:szCs w:val="24"/>
          <w:lang w:eastAsia="hr-HR"/>
        </w:rPr>
        <w:t>GRADONAČELNIK</w:t>
      </w:r>
    </w:p>
    <w:p>
      <w:pPr>
        <w:pStyle w:val="style0"/>
        <w:shd w:fill="FFFFFF" w:val="clear"/>
        <w:spacing w:after="0" w:before="0" w:line="100" w:lineRule="atLeast"/>
        <w:ind w:firstLine="708" w:left="6372" w:right="0"/>
        <w:contextualSpacing w:val="false"/>
        <w:jc w:val="both"/>
      </w:pPr>
      <w:r>
        <w:rPr>
          <w:rFonts w:ascii="Arial" w:cs="Arial" w:hAnsi="Arial"/>
          <w:sz w:val="24"/>
          <w:szCs w:val="24"/>
          <w:lang w:eastAsia="hr-HR"/>
        </w:rPr>
        <w:t xml:space="preserve">      </w:t>
      </w:r>
      <w:r>
        <w:rPr>
          <w:rFonts w:ascii="Arial" w:cs="Arial" w:hAnsi="Arial"/>
          <w:sz w:val="24"/>
          <w:szCs w:val="24"/>
          <w:lang w:eastAsia="hr-HR"/>
        </w:rPr>
        <w:t>Siniša Žulić</w:t>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Tahoma">
    <w:charset w:val="ee"/>
    <w:family w:val="roman"/>
    <w:pitch w:val="variable"/>
  </w:font>
  <w:font w:name="Arial">
    <w:charset w:val="ee"/>
    <w:family w:val="swiss"/>
    <w:pitch w:val="variable"/>
  </w:font>
  <w:font w:name="Arial">
    <w:charset w:val="ee"/>
    <w:family w:val="roman"/>
    <w:pitch w:val="variable"/>
  </w:font>
  <w:font w:name="Times New Roman">
    <w:charset w:val="80"/>
    <w:family w:val="roman"/>
    <w:pitch w:val="variable"/>
  </w:font>
  <w:font w:name="Courier New">
    <w:charset w:val="80"/>
    <w:family w:val="modern"/>
    <w:pitch w:val="fixed"/>
  </w:font>
  <w:font w:name="Wingdings">
    <w:charset w:val="02"/>
    <w:family w:val="auto"/>
    <w:pitch w:val="variable"/>
  </w:font>
  <w:font w:name="Arial">
    <w:charset w:val="80"/>
    <w:family w:val="swiss"/>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tabs>
          <w:tab w:pos="1080" w:val="num"/>
        </w:tabs>
        <w:ind w:hanging="3" w:left="108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720" w:val="num"/>
        </w:tabs>
        <w:ind w:hanging="360" w:left="720"/>
      </w:pPr>
      <w:rPr>
        <w:rFonts w:ascii="Arial" w:cs="Arial" w:hAnsi="Arial" w:hint="default"/>
        <w:b w:val="false"/>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Times New Roman" w:eastAsia="Times New Roman" w:hAnsi="Calibri"/>
      <w:color w:val="auto"/>
      <w:sz w:val="22"/>
      <w:szCs w:val="22"/>
      <w:lang w:bidi="ar-SA" w:eastAsia="en-US" w:val="hr-HR"/>
    </w:rPr>
  </w:style>
  <w:style w:styleId="style15" w:type="character">
    <w:name w:val="Default Paragraph Font"/>
    <w:next w:val="style15"/>
    <w:rPr/>
  </w:style>
  <w:style w:styleId="style16" w:type="character">
    <w:name w:val="Tekst balončića Char"/>
    <w:basedOn w:val="style15"/>
    <w:next w:val="style16"/>
    <w:rPr>
      <w:rFonts w:ascii="Tahoma" w:cs="Tahoma" w:eastAsia="Times New Roman" w:hAnsi="Tahoma"/>
      <w:sz w:val="16"/>
      <w:szCs w:val="16"/>
    </w:rPr>
  </w:style>
  <w:style w:styleId="style17" w:type="character">
    <w:name w:val="ListLabel 1"/>
    <w:next w:val="style17"/>
    <w:rPr>
      <w:rFonts w:eastAsia="Times New Roman"/>
    </w:rPr>
  </w:style>
  <w:style w:styleId="style18" w:type="character">
    <w:name w:val="ListLabel 2"/>
    <w:next w:val="style18"/>
    <w:rPr>
      <w:rFonts w:eastAsia="Times New Roman"/>
      <w:b w:val="false"/>
    </w:rPr>
  </w:style>
  <w:style w:styleId="style19" w:type="character">
    <w:name w:val="ListLabel 3"/>
    <w:next w:val="style19"/>
    <w:rPr>
      <w:rFonts w:cs="Courier New"/>
    </w:rPr>
  </w:style>
  <w:style w:styleId="style20" w:type="paragraph">
    <w:name w:val="Naslov"/>
    <w:basedOn w:val="style0"/>
    <w:next w:val="style21"/>
    <w:pPr>
      <w:keepNext/>
      <w:spacing w:after="120" w:before="240"/>
      <w:contextualSpacing w:val="false"/>
    </w:pPr>
    <w:rPr>
      <w:rFonts w:ascii="Arial" w:cs="Mangal" w:eastAsia="Lucida Sans Unicode" w:hAnsi="Arial"/>
      <w:sz w:val="28"/>
      <w:szCs w:val="28"/>
    </w:rPr>
  </w:style>
  <w:style w:styleId="style21" w:type="paragraph">
    <w:name w:val="Tijelo teksta"/>
    <w:basedOn w:val="style0"/>
    <w:next w:val="style21"/>
    <w:pPr>
      <w:spacing w:after="120" w:before="0"/>
      <w:contextualSpacing w:val="false"/>
    </w:pPr>
    <w:rPr/>
  </w:style>
  <w:style w:styleId="style22" w:type="paragraph">
    <w:name w:val="Popis"/>
    <w:basedOn w:val="style21"/>
    <w:next w:val="style22"/>
    <w:pPr/>
    <w:rPr>
      <w:rFonts w:cs="Mangal"/>
    </w:rPr>
  </w:style>
  <w:style w:styleId="style23" w:type="paragraph">
    <w:name w:val="Opis"/>
    <w:basedOn w:val="style0"/>
    <w:next w:val="style23"/>
    <w:pPr>
      <w:suppressLineNumbers/>
      <w:spacing w:after="120" w:before="120"/>
      <w:contextualSpacing w:val="false"/>
    </w:pPr>
    <w:rPr>
      <w:rFonts w:cs="Mangal"/>
      <w:i/>
      <w:iCs/>
      <w:sz w:val="24"/>
      <w:szCs w:val="24"/>
    </w:rPr>
  </w:style>
  <w:style w:styleId="style24" w:type="paragraph">
    <w:name w:val="Indeks"/>
    <w:basedOn w:val="style0"/>
    <w:next w:val="style24"/>
    <w:pPr>
      <w:suppressLineNumbers/>
    </w:pPr>
    <w:rPr>
      <w:rFonts w:cs="Mangal"/>
    </w:rPr>
  </w:style>
  <w:style w:styleId="style25" w:type="paragraph">
    <w:name w:val="Normal (Web)"/>
    <w:basedOn w:val="style0"/>
    <w:next w:val="style25"/>
    <w:pPr>
      <w:spacing w:after="270" w:before="28" w:line="360" w:lineRule="auto"/>
      <w:contextualSpacing w:val="false"/>
    </w:pPr>
    <w:rPr>
      <w:rFonts w:ascii="Times New Roman" w:eastAsia="Calibri" w:hAnsi="Times New Roman"/>
      <w:sz w:val="24"/>
      <w:szCs w:val="24"/>
      <w:lang w:eastAsia="hr-HR"/>
    </w:rPr>
  </w:style>
  <w:style w:styleId="style26" w:type="paragraph">
    <w:name w:val="Odlomak popisa1"/>
    <w:basedOn w:val="style0"/>
    <w:next w:val="style26"/>
    <w:pPr>
      <w:spacing w:after="200" w:before="0"/>
      <w:ind w:hanging="0" w:left="720" w:right="0"/>
      <w:contextualSpacing/>
    </w:pPr>
    <w:rPr/>
  </w:style>
  <w:style w:styleId="style27" w:type="paragraph">
    <w:name w:val="Balloon Text"/>
    <w:basedOn w:val="style0"/>
    <w:next w:val="style27"/>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2014-04-08T07:58:00.00Z</dcterms:created>
  <dc:creator>Elena Grah Ciliga</dc:creator>
  <cp:lastModifiedBy>Nenad Šćulac</cp:lastModifiedBy>
  <cp:lastPrinted>2014-04-08T07:58:00.00Z</cp:lastPrinted>
  <dcterms:modified xsi:type="dcterms:W3CDTF">2014-04-08T07:58:00.00Z</dcterms:modified>
  <cp:revision>2</cp:revision>
  <dc:title>        </dc:title>
</cp:coreProperties>
</file>