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object w:dxaOrig="1133" w:dyaOrig="1396">
          <v:rect xmlns:o="urn:schemas-microsoft-com:office:office" xmlns:v="urn:schemas-microsoft-com:vml" id="rectole0000000000" style="width:56.650000pt;height:69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</w:t>
      </w:r>
      <w:r>
        <w:object w:dxaOrig="2976" w:dyaOrig="708">
          <v:rect xmlns:o="urn:schemas-microsoft-com:office:office" xmlns:v="urn:schemas-microsoft-com:vml" id="rectole0000000001" style="width:148.800000pt;height:35.4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</w:t>
      </w:r>
      <w:r>
        <w:object w:dxaOrig="2207" w:dyaOrig="1336">
          <v:rect xmlns:o="urn:schemas-microsoft-com:office:office" xmlns:v="urn:schemas-microsoft-com:vml" id="rectole0000000002" style="width:110.350000pt;height:66.8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REPUBLIKA HRVATSKA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ISTARSKA ŽUPANIJA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GRAD BUZET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KLASA: 351-01/13-01/10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URBROJ: 2106/01-03-13-1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Buzet, 19. travnja 2013.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temelju to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čke 9. Programa o poticanju korištenja obnovljivih izvora energije u kućanstvima na području Grada Buzeta, KLASA: 351-01/12-01/24, URBROJ: 2106/01-03-12-2 od 31. prosinca 2012. (Službene novine Grada Buzeta, broj 12/12), Grad Buzet objavljuje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JAVNI NATJE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ČAJ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za sufinanciranje projekta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„Poticanje korištenja obnovljivih izvora energije u ku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ćanstvima'' 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u Gradu Buzetu u 2013. godini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"/>
        </w:numPr>
        <w:tabs>
          <w:tab w:val="left" w:pos="284" w:leader="none"/>
        </w:tabs>
        <w:spacing w:before="0" w:after="200" w:line="240"/>
        <w:ind w:right="0" w:left="142" w:hanging="142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Predmet natje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čaja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Predmet ovog Natje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čaja je sufinanciranje troškova projekta nabave i ugradnje sustava za korištenje obnovljivih izvora energije (u tekstu: OIE) u 30 kućanstava na području Grada Buzeta u 2013. godini.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Predmet sufinanciranja je ugradnja sljede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ćih sustava OIE:</w:t>
      </w:r>
    </w:p>
    <w:p>
      <w:pPr>
        <w:numPr>
          <w:ilvl w:val="0"/>
          <w:numId w:val="9"/>
        </w:numPr>
        <w:spacing w:before="0" w:after="0" w:line="240"/>
        <w:ind w:right="0" w:left="714" w:hanging="357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solarni kolektorski sustav za pripremu potrošne tople vode i grijanja 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 11 korisnika</w:t>
      </w:r>
    </w:p>
    <w:p>
      <w:pPr>
        <w:numPr>
          <w:ilvl w:val="0"/>
          <w:numId w:val="9"/>
        </w:numPr>
        <w:spacing w:before="0" w:after="0" w:line="240"/>
        <w:ind w:right="0" w:left="714" w:hanging="357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fotonaponski sustav za proizvodnju elektri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čne energije -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2 korisnika</w:t>
      </w:r>
    </w:p>
    <w:p>
      <w:pPr>
        <w:numPr>
          <w:ilvl w:val="0"/>
          <w:numId w:val="9"/>
        </w:numPr>
        <w:spacing w:before="10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geotermalne dizalice topline za pripremu potrošne tople vode, grijanje i hla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đenje -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2 korisnika</w:t>
      </w:r>
    </w:p>
    <w:p>
      <w:pPr>
        <w:numPr>
          <w:ilvl w:val="0"/>
          <w:numId w:val="9"/>
        </w:numPr>
        <w:spacing w:before="10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sustavi za korištenje biomase - 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15 korisnika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Podnositelj se može prijaviti isklju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čivo za subvencioniranje jednog od sustava obnovljivih izvora energije koji su predmet ovog Natječaja.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Ukupni troškovi opreme i ugradnje sustava za korištenje obnovljivih izvora energije u ku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ćanstvima bit će sufinancirani kako slijedi:</w:t>
      </w:r>
    </w:p>
    <w:tbl>
      <w:tblPr/>
      <w:tblGrid>
        <w:gridCol w:w="3139"/>
        <w:gridCol w:w="1541"/>
        <w:gridCol w:w="2160"/>
        <w:gridCol w:w="2516"/>
      </w:tblGrid>
      <w:tr>
        <w:trPr>
          <w:trHeight w:val="1425" w:hRule="auto"/>
          <w:jc w:val="left"/>
        </w:trPr>
        <w:tc>
          <w:tcPr>
            <w:tcW w:w="3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Broj sustava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% sufinanciranja Grada i Fonda za zaštitu okoliša i energetsku u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činkovitost</w:t>
            </w:r>
          </w:p>
        </w:tc>
        <w:tc>
          <w:tcPr>
            <w:tcW w:w="2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max. potpora po sustavu u kn (s PDV-om)</w:t>
            </w:r>
          </w:p>
        </w:tc>
      </w:tr>
      <w:tr>
        <w:trPr>
          <w:trHeight w:val="1194" w:hRule="auto"/>
          <w:jc w:val="left"/>
        </w:trPr>
        <w:tc>
          <w:tcPr>
            <w:tcW w:w="3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Solarni toplinski kolektori za pripremu potrošne tople vode ili za pripremu potrošne tople vode i potpore grijanju</w:t>
            </w:r>
          </w:p>
        </w:tc>
        <w:tc>
          <w:tcPr>
            <w:tcW w:w="1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54,94%</w:t>
            </w:r>
          </w:p>
        </w:tc>
        <w:tc>
          <w:tcPr>
            <w:tcW w:w="2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18.197,91</w:t>
            </w:r>
          </w:p>
        </w:tc>
      </w:tr>
      <w:tr>
        <w:trPr>
          <w:trHeight w:val="828" w:hRule="auto"/>
          <w:jc w:val="left"/>
        </w:trPr>
        <w:tc>
          <w:tcPr>
            <w:tcW w:w="3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Fotonaponski kolektori i akumulatori za proizvodnju el. energije za vlastitu potrošnju</w:t>
            </w:r>
          </w:p>
        </w:tc>
        <w:tc>
          <w:tcPr>
            <w:tcW w:w="1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54,94%</w:t>
            </w:r>
          </w:p>
        </w:tc>
        <w:tc>
          <w:tcPr>
            <w:tcW w:w="2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18.197,91</w:t>
            </w:r>
          </w:p>
        </w:tc>
      </w:tr>
      <w:tr>
        <w:trPr>
          <w:trHeight w:val="1267" w:hRule="auto"/>
          <w:jc w:val="left"/>
        </w:trPr>
        <w:tc>
          <w:tcPr>
            <w:tcW w:w="3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Dizalice topline (zemlja-voda, voda-voda, zrak-voda) za pripremu potrošne tople vode, grijanje i hla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đenje   </w:t>
            </w:r>
          </w:p>
        </w:tc>
        <w:tc>
          <w:tcPr>
            <w:tcW w:w="1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54,94%</w:t>
            </w:r>
          </w:p>
        </w:tc>
        <w:tc>
          <w:tcPr>
            <w:tcW w:w="2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18.197,91</w:t>
            </w:r>
          </w:p>
        </w:tc>
      </w:tr>
      <w:tr>
        <w:trPr>
          <w:trHeight w:val="421" w:hRule="auto"/>
          <w:jc w:val="left"/>
        </w:trPr>
        <w:tc>
          <w:tcPr>
            <w:tcW w:w="3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Sustavi za korištenje biomase</w:t>
            </w:r>
          </w:p>
        </w:tc>
        <w:tc>
          <w:tcPr>
            <w:tcW w:w="1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54,94%</w:t>
            </w:r>
          </w:p>
        </w:tc>
        <w:tc>
          <w:tcPr>
            <w:tcW w:w="2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18.197,91</w:t>
            </w:r>
          </w:p>
        </w:tc>
      </w:tr>
    </w:tbl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FFFF00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Grad Buzet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će iz vlastitih sredstava Proračuna Grada Buzeta za 2013. godinu za fotonaponske kolektore i dizalice topline osigurati dodatnu razliku sredstava do 54,94 % visine prihvatljivih troškova opreme i ugradnje sustava po kućanstvu odnosno maksimalno do 24.000,00 kuna.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Nepovratna nov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čana sredstva će se isplaćivati za troškove nabave i ugradnje opreme sustava za korištenje obnovljivih izvora energije nastalih nakon 1. siječnja 2013. godine.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5"/>
        </w:numPr>
        <w:spacing w:before="0" w:after="200" w:line="240"/>
        <w:ind w:right="0" w:left="284" w:hanging="284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Korisnici sredstava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Pravo na korištenje sredstava Grada Buzeta mogu ostvariti fizi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čke osobe koje imaju izgrađeni objekt stavljen u funkciju stanovanja na području Grada Buzeta (u daljnjem tekstu: korisnici sredstava).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7"/>
        </w:numPr>
        <w:spacing w:before="0" w:after="200" w:line="240"/>
        <w:ind w:right="0" w:left="426" w:hanging="426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Uvjeti kojima podnositelj prijava mora udovoljavati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Podnositelji prijave moraju udovoljavati slijede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ćim uvjetima:</w:t>
      </w:r>
    </w:p>
    <w:p>
      <w:pPr>
        <w:numPr>
          <w:ilvl w:val="0"/>
          <w:numId w:val="39"/>
        </w:numPr>
        <w:spacing w:before="0" w:after="2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punoljetna, fizi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čka osoba koja ima prijavljeno prebivalište ili boravište na adresi objekta na kojem se planira ugradnja sustava za OIE, a koji se nalazi na području Grada Buzeta;</w:t>
      </w:r>
    </w:p>
    <w:p>
      <w:pPr>
        <w:numPr>
          <w:ilvl w:val="0"/>
          <w:numId w:val="39"/>
        </w:numPr>
        <w:spacing w:before="0" w:after="2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posjeduje dokaz o vlasništvu nad izgra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đenim objektom na kojem se planira ugradnja sustava za OIE;</w:t>
      </w:r>
    </w:p>
    <w:p>
      <w:pPr>
        <w:numPr>
          <w:ilvl w:val="0"/>
          <w:numId w:val="39"/>
        </w:numPr>
        <w:spacing w:before="0" w:after="2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posjeduje odgovaraju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ći akt (građevinska dozvola, uporabna dozvola) kojim se dopušta građenje za objekt na koji se planira ugradnja sustava za OIE ;</w:t>
      </w:r>
    </w:p>
    <w:p>
      <w:pPr>
        <w:numPr>
          <w:ilvl w:val="0"/>
          <w:numId w:val="39"/>
        </w:numPr>
        <w:spacing w:before="0" w:after="2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prihva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ćanje općih uvjeta zajedničkog sudjelovanja u sufinanciranju sustava za koje se odobravaju sredstva Grada Buzeta sukladno ovom Natječaju.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1"/>
        </w:numPr>
        <w:spacing w:before="0" w:after="200" w:line="240"/>
        <w:ind w:right="0" w:left="426" w:hanging="426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Potrebna dokumentacija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Podnositelji prijava dužni su dostaviti slijede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ću dokumentaciju:</w:t>
      </w:r>
    </w:p>
    <w:p>
      <w:pPr>
        <w:numPr>
          <w:ilvl w:val="0"/>
          <w:numId w:val="43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potpisane i cjelovito popunjene obrasce: Prijavni obrazac za podnošenje zahtjeva za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sufinanciranje (Prilog 1.) i Izjavu o prihva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ćanju općih uvjeta zajedničkog sudjelovanja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u sufinanciranju Projekta (Prilog 2.);</w:t>
      </w:r>
    </w:p>
    <w:p>
      <w:pPr>
        <w:numPr>
          <w:ilvl w:val="0"/>
          <w:numId w:val="45"/>
        </w:numPr>
        <w:spacing w:before="0" w:after="2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presliku osobne iskaznice prijavitelja (obostrana preslika) ili uvjerenje o prebivalištu prijavitelja ne starije od 30 dana kao i presliku osobne iskaznice (obostrana preslika) ili uvjerenje o prebivalištu ne starije od 30 dana za sve uku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ćane upisanih u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Obrascu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;</w:t>
      </w:r>
    </w:p>
    <w:p>
      <w:pPr>
        <w:numPr>
          <w:ilvl w:val="0"/>
          <w:numId w:val="45"/>
        </w:numPr>
        <w:spacing w:before="0" w:after="2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preslika vlasni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čkog lista za izgrađeni objekt na koji se planira ugradnja sustava za korištenje OIE;</w:t>
      </w:r>
    </w:p>
    <w:p>
      <w:pPr>
        <w:numPr>
          <w:ilvl w:val="0"/>
          <w:numId w:val="45"/>
        </w:numPr>
        <w:spacing w:before="0" w:after="2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dokaz o posjedovanju legalno izgra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đene građevine (zgrade) na koju se planira ugradnja sustava. Kao dokaz o legalno izgrađenoj građevini može se priložiti:</w:t>
      </w:r>
    </w:p>
    <w:p>
      <w:pPr>
        <w:numPr>
          <w:ilvl w:val="0"/>
          <w:numId w:val="45"/>
        </w:numPr>
        <w:spacing w:before="0" w:after="200" w:line="240"/>
        <w:ind w:right="0" w:left="993" w:hanging="284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preslika vlasni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čkog lista sa upisanom građevinom temeljem uporabne dozvole (bez tereta da uporabna dozvola nije priložena), ili </w:t>
      </w:r>
    </w:p>
    <w:p>
      <w:pPr>
        <w:numPr>
          <w:ilvl w:val="0"/>
          <w:numId w:val="45"/>
        </w:numPr>
        <w:spacing w:before="0" w:after="200" w:line="240"/>
        <w:ind w:right="0" w:left="993" w:hanging="284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izvršena dozvola za gra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đenje građevine (građevinska dozvola, potvrda glavnog projekta, rješenje o uvjetima građenja ili rješenje o izvedenom stanju), ili</w:t>
      </w:r>
    </w:p>
    <w:p>
      <w:pPr>
        <w:numPr>
          <w:ilvl w:val="0"/>
          <w:numId w:val="45"/>
        </w:numPr>
        <w:spacing w:before="0" w:after="200" w:line="240"/>
        <w:ind w:right="0" w:left="993" w:hanging="284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potvrda da je gra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đevina izgrađena prije 15. veljače 1968. godine;</w:t>
      </w:r>
    </w:p>
    <w:p>
      <w:pPr>
        <w:numPr>
          <w:ilvl w:val="0"/>
          <w:numId w:val="45"/>
        </w:numPr>
        <w:spacing w:before="0" w:after="200" w:line="240"/>
        <w:ind w:right="0" w:left="709" w:hanging="283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suglasnost suvlasnika (potpisana izjava suglasnika o suglasnosti izgradnje sustava na objektu u zajedni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čkom vlasništvu);</w:t>
      </w:r>
    </w:p>
    <w:p>
      <w:pPr>
        <w:numPr>
          <w:ilvl w:val="0"/>
          <w:numId w:val="45"/>
        </w:numPr>
        <w:spacing w:before="0" w:after="200" w:line="240"/>
        <w:ind w:right="0" w:left="709" w:hanging="283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druga dokumentacija na zahtjev Grada Buzeta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Dokumentacija se prilaže u izvorniku ili preslici ne starija od 30 (slovima: trideset) dana od dana objave natje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čaja (izuzetak preslika građevinske dozvole i osobne iskaznice).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9"/>
        </w:numPr>
        <w:spacing w:before="0" w:after="200" w:line="240"/>
        <w:ind w:right="0" w:left="284" w:hanging="284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Kriteriji za odabir ponuda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Postupak za ocjenjivanje ponuda i odre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đivanje prednosti vršit će se na temelju liste prednosti sastavljene bodovanjem prema slijedećim kriterijima: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 Tehno-ekonomska opravdanost ugradnje sustava za korištenje obnovljivih izvora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energije na prijavljenom objektu (najve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ći ukupan broj bodova 40);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 = Ukupna površina grijanog prostora / Broj korisnika gra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đevine,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gdje je K faktor iskorištenja površine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K&lt;15 (40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15≤K&lt;20 (37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20≤K&lt;25 (34 boda)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25≤K&lt;30 (31 bod)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30≤K&lt;35 (28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35≤K&lt;40 (25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40≤K&lt;45 (22 boda)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45≤K&lt;50 (19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50≤K&lt;55 (16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55≤K&lt;60 (13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60≤K&lt;65 (10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K&gt;65 (7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84" w:hanging="284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 Zate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čeno stanje konstrukcijskih dijelova građevine – zadovoljavajuća toplinska zaštita, opće    stanje fasade, stolarije i dr. (najveći ukupan broj bodova 30);</w:t>
      </w:r>
    </w:p>
    <w:p>
      <w:pPr>
        <w:spacing w:before="0" w:after="0" w:line="240"/>
        <w:ind w:right="0" w:left="284" w:hanging="284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a) Ukupna debljina sloja fasadne toplinske zaštite (stiropor ili kamena vuna) vanjskog zida: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0 cm (0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1-3 cm ili toplinska žbuka (3 boda)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4-5 cm (6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6-7 cm (9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8-10 cm (12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&gt;10 cm (15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b) Tehni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čke karakteristike vanjske stolarije: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- jednostruko staklo (0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- dvostruko obi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čno staklo (3 boda)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- dvostruko izo staklo (6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- dvostruko izo staklo s low-e premazom (9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- trostruko izo staklo (12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- trostruko izo staklo s low-e premazom (15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84" w:hanging="284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Zate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čeno stanje sustava za grijanje, hlađenje i ventilaciju – stupanj korisnog djelovanja, održavanje i dr. (najveći ukupan broj bodova 30);</w:t>
      </w:r>
    </w:p>
    <w:p>
      <w:pPr>
        <w:spacing w:before="0" w:after="0" w:line="240"/>
        <w:ind w:right="0" w:left="284" w:hanging="284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426" w:hanging="426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3.1. Solarni toplinski kolektori za pripremu potrošne tople vode ili za pripremu potrošne tople vode i potpore grijanju</w:t>
      </w:r>
    </w:p>
    <w:p>
      <w:pPr>
        <w:tabs>
          <w:tab w:val="left" w:pos="426" w:leader="none"/>
        </w:tabs>
        <w:spacing w:before="0" w:after="0" w:line="240"/>
        <w:ind w:right="0" w:left="426" w:hanging="426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a) Sustav grijanja i hla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đenja: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- energent isklju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čivo na električnu energiju (0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- energent lož ulje (5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- energent UNP, prirodni plin, sustav daljinskog grijanja ili dizalica topline (10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- energent biomasa ili drugi OIE (15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b) Sustav pripreme potrošne tople vode: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- energent isklju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čivo na električnu energiju (15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- energent lož ulje (10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- energent UNP, prirodni plin, sustav daljinskog grijanja ili dizalica topline (5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- energent biomasa ili drugi OIE (0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hanging="426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3.2. Fotonaponski kolektori i akumulatori za proizvodnju elektri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čne energije za vlastitu potrošnju</w:t>
      </w:r>
    </w:p>
    <w:p>
      <w:pPr>
        <w:spacing w:before="0" w:after="0" w:line="240"/>
        <w:ind w:right="0" w:left="426" w:hanging="426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c) Sustav grijanja i hla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đenja: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- energent isklju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čivo na električnu energiju (0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- energent lož ulje (5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- energent UNP, prirodni plin, sustav daljinskog grijanja ili dizalica topline (10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- energent biomasa ili drugi OIE (15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d) Sustav pripreme potrošne tople vode: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- energent isklju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čivo na električnu energiju (0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- energent lož ulje (5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- energent UNP, prirodni plin, sustav daljinskog grijanja ili dizalica topline (10 bodova)</w:t>
      </w:r>
    </w:p>
    <w:p>
      <w:pPr>
        <w:tabs>
          <w:tab w:val="left" w:pos="567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- energent biomasa ili drugi OIE (15 bodova)</w:t>
      </w:r>
    </w:p>
    <w:p>
      <w:pPr>
        <w:tabs>
          <w:tab w:val="left" w:pos="567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67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67" w:hanging="567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3.3. Dizalice topline (zemlja-voda, voda-voda, zrak-voda) za pripremu potrošne tople vode, grijanje i hla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đenje </w:t>
      </w:r>
    </w:p>
    <w:p>
      <w:pPr>
        <w:spacing w:before="0" w:after="0" w:line="240"/>
        <w:ind w:right="0" w:left="567" w:hanging="567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e) Sustav grijanja i hla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đenja: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- energent isklju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čivo na električnu energiju (15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- energent lož ulje (10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- energent UNP, prirodni plin, sustav daljinskog grijanja ili dizalica topline (5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- energent biomasa ili drugi OIE (0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f) Sustav pripreme potrošne tople vode: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- energent isklju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čivo na električnu energiju (15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- energent lož ulje (10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- energent UNP, prirodni plin, sustav daljinskog grijanja ili dizalica topline (5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- energent biomasa ili drugi OIE (0 bodova)</w:t>
      </w:r>
    </w:p>
    <w:p>
      <w:pPr>
        <w:spacing w:before="0" w:after="0" w:line="240"/>
        <w:ind w:right="0" w:left="426" w:hanging="426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hanging="426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3.4. Sustavi za korištenje biomase</w:t>
      </w:r>
    </w:p>
    <w:p>
      <w:pPr>
        <w:spacing w:before="0" w:after="0" w:line="240"/>
        <w:ind w:right="0" w:left="426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1)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sustavi s kotlom na drvnu sje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čku/pelete za pripremu potrošne tople vode i grijanje</w:t>
      </w:r>
    </w:p>
    <w:p>
      <w:pPr>
        <w:spacing w:before="0" w:after="0" w:line="240"/>
        <w:ind w:right="0" w:left="426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426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g) Sustav grijanja i hla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đenja: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- energent isklju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čivo na električnu energiju (15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- energent lož ulje (10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- energent UNP, prirodni plin, sustav daljinskog grijanja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ili dizalica topline (5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- energent biomasa ili drugi OIE (0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h) Sustav pripreme potrošne tople vode: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- energent isklju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čivo na električnu energiju (15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- energent lož ulje (10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- energent UNP, prirodni plin, sustav daljinskog grijanja ili dizalica topline (5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- energent biomasa ili drugi OIE (0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2) sustavi s piroliti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čkim kotlom na drva za pripremu potrošne tople vode i grijanje</w:t>
      </w:r>
    </w:p>
    <w:p>
      <w:pPr>
        <w:spacing w:before="0" w:after="0" w:line="240"/>
        <w:ind w:right="0" w:left="0" w:firstLine="426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426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i) Sustav grijanja i hla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đenja: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- energent isklju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čivo na električnu energiju (15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- energent lož ulje (10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- energent UNP, prirodni plin, sustav daljinskog grijanja  ili dizalica topline (5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- energent biomasa ili drugi OIE (0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j) Sustav pripreme potrošne tople vode: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- energent isklju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čivo na električnu energiju (15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- energent lož ulje (10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- energent UNP, prirodni plin, sustav daljinskog grijanja ili dizalica topline (5 bodova)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- energent biomasa ili drugi OIE (0 bodova)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0"/>
        </w:numPr>
        <w:spacing w:before="0" w:after="200" w:line="240"/>
        <w:ind w:right="0" w:left="426" w:hanging="426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čin, datum i mjesto dostave ponuda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Ponuda se dostavlja osobno ili putem pošte u pisanom obliku, u zatvorenoj omotnici s nazivom i adresom ponuditelja,                                                                                                                                    na adresu: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Grad Buzet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II. istarske brigade 11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52420 Buzet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uz naznaku: Natje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čaj za OIE – Ne otvaraj.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Rok za dostavu ponuda je 30 dana od dana objave ovog Natje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čaja.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Nepotpune ponude, ponude dostavljene nakon isteka navedenog roka kao i ponude koje se ne odnose na predmet Natje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čaja, neće se razmatrati.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4"/>
        </w:numPr>
        <w:spacing w:before="0" w:after="200" w:line="240"/>
        <w:ind w:right="0" w:left="426" w:hanging="426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Obrada ponuda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Pregled i ocjenjivanje pristiglih ponuda te odabir 30 ku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ćanstava provest će Povjerenstvo za provedbu natječaja te se o njemu sastavlja Zapisnik o otvaranju ponuda. Postupak otvaranja ponuda započinje na naznačenome mjestu i u naznačeno vrijeme.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Lista prednosti za dodjelu sredstava utvr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đuje se s obzirom na najveći broj osvojenih bodova. O rezultatima natječaja podnositelji ponuda bit će obaviješteni u roku od 30 dana od dana zatvaranja Natječaja.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7"/>
        </w:numPr>
        <w:spacing w:before="0" w:after="200" w:line="240"/>
        <w:ind w:right="0" w:left="567" w:hanging="567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Zahtjev za povrat uloženih sredstava 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Korisnici sredstava dužni su podnijeti najkasnije do 31. listopada 2013. godine Gradu Buzetu pismeni zahtjev za povratom uloženih sredstava te dostaviti slijede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ću dokumentaciju:</w:t>
      </w:r>
    </w:p>
    <w:p>
      <w:pPr>
        <w:numPr>
          <w:ilvl w:val="0"/>
          <w:numId w:val="79"/>
        </w:numPr>
        <w:spacing w:before="0" w:after="200" w:line="240"/>
        <w:ind w:right="0" w:left="1485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zahtjev za povratom uloženih sredstava;</w:t>
      </w:r>
    </w:p>
    <w:p>
      <w:pPr>
        <w:numPr>
          <w:ilvl w:val="0"/>
          <w:numId w:val="79"/>
        </w:numPr>
        <w:spacing w:before="0" w:after="200" w:line="240"/>
        <w:ind w:right="0" w:left="1485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presliku zapisnika o izvedenim radovima od strane ovlaštenog izvo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đača radova;</w:t>
      </w:r>
    </w:p>
    <w:p>
      <w:pPr>
        <w:numPr>
          <w:ilvl w:val="0"/>
          <w:numId w:val="79"/>
        </w:numPr>
        <w:spacing w:before="0" w:after="200" w:line="240"/>
        <w:ind w:right="0" w:left="1485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presliku 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čuna dobavljača opreme i/ili izvođača radova;</w:t>
      </w:r>
    </w:p>
    <w:p>
      <w:pPr>
        <w:numPr>
          <w:ilvl w:val="0"/>
          <w:numId w:val="79"/>
        </w:numPr>
        <w:spacing w:before="0" w:after="200" w:line="240"/>
        <w:ind w:right="0" w:left="1485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presliku popunjenog i ovjerenog garantnog lista za solarni sustav.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Korisnicima sredstava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će se, ako zadovoljavaju sve tražene uvjete, u roku od 30 dana od podnošenja potpunog zahtjeva za povrat uloženih sredstava, isplatiti odobrena financijska sredstva.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Korisnik koji ostvari pravo na subvenciju, a ne iskoristi je, gubi pravo sufinanciranja projekta u idu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će 3 godine.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Grad Buzet može zatražiti dodatnu provjeru dokumentacije kao i eventualnu provjeru pregleda prijavljenih objekata. Korisnik sufinanciranja troškova projekta je dužan omogu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ćiti davatelju sufinanciranja eventualnu kontrolu namjenskog utroška dobivenog sufinanciranja. Ukoliko je korisnik gradske potpore odnosno podnositelj zahtjeva priložio neistinitu dokumentaciju ili prijavljeno stanje u zahtjevu i dokumentaciji ne odgovara njegovom stvarnom stanju podnositelj zahtjeva dobivena sredstva za tu godinu mora vratiti u Proračun Grada Buzeta, te će biti isključen iz svih gradskih subvencija.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2"/>
        </w:numPr>
        <w:spacing w:before="0" w:after="200" w:line="240"/>
        <w:ind w:right="0" w:left="426" w:hanging="426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Ostale informacije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Tekst natje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čaja s pripadajućim obrascima objavljen je na službenoj internet stranici Grada Buzeta </w:t>
      </w:r>
      <w:hyperlink xmlns:r="http://schemas.openxmlformats.org/officeDocument/2006/relationships" r:id="docRId6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www.buzet.hr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Dostavljanjem dokumentacije na ovaj Natje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čaj, korisnik sredstva daje odobrenje Gradu Buzetu da osnovne podatke o korisniku i o ponuđenom projektu objavi na službenoj internet stranici Grada Buzeta te u drugim izvještajima.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Sve dodatne informacije mogu se dobiti na broju telefona 052/662-726, interni 203 ili e-poštom: </w:t>
      </w:r>
      <w:hyperlink xmlns:r="http://schemas.openxmlformats.org/officeDocument/2006/relationships" r:id="docRId7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iris.jakac@buzet.hr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  <w:br/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 xml:space="preserve">      GRADONA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ČELNIK</w:t>
      </w:r>
    </w:p>
    <w:p>
      <w:pPr>
        <w:spacing w:before="0" w:after="20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 xml:space="preserve">mr.sc. Valter Flego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num w:numId="7">
    <w:abstractNumId w:val="78"/>
  </w:num>
  <w:num w:numId="9">
    <w:abstractNumId w:val="72"/>
  </w:num>
  <w:num w:numId="35">
    <w:abstractNumId w:val="66"/>
  </w:num>
  <w:num w:numId="37">
    <w:abstractNumId w:val="60"/>
  </w:num>
  <w:num w:numId="39">
    <w:abstractNumId w:val="54"/>
  </w:num>
  <w:num w:numId="41">
    <w:abstractNumId w:val="48"/>
  </w:num>
  <w:num w:numId="43">
    <w:abstractNumId w:val="42"/>
  </w:num>
  <w:num w:numId="45">
    <w:abstractNumId w:val="36"/>
  </w:num>
  <w:num w:numId="49">
    <w:abstractNumId w:val="30"/>
  </w:num>
  <w:num w:numId="70">
    <w:abstractNumId w:val="24"/>
  </w:num>
  <w:num w:numId="74">
    <w:abstractNumId w:val="18"/>
  </w:num>
  <w:num w:numId="77">
    <w:abstractNumId w:val="12"/>
  </w:num>
  <w:num w:numId="79">
    <w:abstractNumId w:val="6"/>
  </w:num>
  <w:num w:numId="8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1.wmf" Id="docRId3" Type="http://schemas.openxmlformats.org/officeDocument/2006/relationships/image"/><Relationship TargetMode="External" Target="mailto:iris.jakac@buzet.hr" Id="docRId7" Type="http://schemas.openxmlformats.org/officeDocument/2006/relationships/hyperlink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Mode="External" Target="http://www.buzet.hr/" Id="docRId6" Type="http://schemas.openxmlformats.org/officeDocument/2006/relationships/hyperlink"/><Relationship Target="numbering.xml" Id="docRId8" Type="http://schemas.openxmlformats.org/officeDocument/2006/relationships/numbering"/><Relationship Target="media/image0.wmf" Id="docRId1" Type="http://schemas.openxmlformats.org/officeDocument/2006/relationships/image"/><Relationship Target="media/image2.wmf" Id="docRId5" Type="http://schemas.openxmlformats.org/officeDocument/2006/relationships/image"/><Relationship Target="styles.xml" Id="docRId9" Type="http://schemas.openxmlformats.org/officeDocument/2006/relationships/styles"/></Relationships>
</file>