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039" w:rsidRPr="00E91463" w:rsidRDefault="003B5039" w:rsidP="00F8194A">
      <w:pPr>
        <w:jc w:val="center"/>
        <w:rPr>
          <w:rFonts w:ascii="Arial" w:hAnsi="Arial" w:cs="Arial"/>
          <w:b/>
          <w:sz w:val="32"/>
          <w:szCs w:val="32"/>
        </w:rPr>
      </w:pPr>
      <w:r w:rsidRPr="00E91463">
        <w:rPr>
          <w:rFonts w:ascii="Arial" w:hAnsi="Arial" w:cs="Arial"/>
          <w:b/>
          <w:sz w:val="32"/>
          <w:szCs w:val="32"/>
        </w:rPr>
        <w:t>IZVJEŠĆE</w:t>
      </w:r>
    </w:p>
    <w:p w:rsidR="003B5039" w:rsidRPr="00E91463" w:rsidRDefault="003B5039" w:rsidP="00F8194A">
      <w:pPr>
        <w:jc w:val="center"/>
        <w:rPr>
          <w:rFonts w:ascii="Arial" w:hAnsi="Arial" w:cs="Arial"/>
          <w:b/>
          <w:sz w:val="32"/>
          <w:szCs w:val="32"/>
        </w:rPr>
      </w:pPr>
      <w:r w:rsidRPr="00E91463">
        <w:rPr>
          <w:rFonts w:ascii="Arial" w:hAnsi="Arial" w:cs="Arial"/>
          <w:b/>
          <w:sz w:val="32"/>
          <w:szCs w:val="32"/>
        </w:rPr>
        <w:t>o provedenom savjetovanju sa zainteresiranom javnošću o</w:t>
      </w:r>
    </w:p>
    <w:p w:rsidR="002A494C" w:rsidRPr="00E91463" w:rsidRDefault="007112E1" w:rsidP="00F8194A">
      <w:pPr>
        <w:jc w:val="center"/>
        <w:rPr>
          <w:rFonts w:ascii="Arial" w:hAnsi="Arial" w:cs="Arial"/>
          <w:b/>
          <w:sz w:val="32"/>
          <w:szCs w:val="32"/>
        </w:rPr>
      </w:pPr>
      <w:r w:rsidRPr="00E91463">
        <w:rPr>
          <w:rFonts w:ascii="Arial" w:hAnsi="Arial" w:cs="Arial"/>
          <w:b/>
          <w:sz w:val="32"/>
          <w:szCs w:val="32"/>
        </w:rPr>
        <w:t xml:space="preserve">Nacrtu </w:t>
      </w:r>
      <w:r w:rsidR="002A494C" w:rsidRPr="00E91463">
        <w:rPr>
          <w:rFonts w:ascii="Arial" w:hAnsi="Arial" w:cs="Arial"/>
          <w:b/>
          <w:sz w:val="32"/>
          <w:szCs w:val="32"/>
        </w:rPr>
        <w:t>Odluk</w:t>
      </w:r>
      <w:r w:rsidRPr="00E91463">
        <w:rPr>
          <w:rFonts w:ascii="Arial" w:hAnsi="Arial" w:cs="Arial"/>
          <w:b/>
          <w:sz w:val="32"/>
          <w:szCs w:val="32"/>
        </w:rPr>
        <w:t>e</w:t>
      </w:r>
      <w:r w:rsidR="002A494C" w:rsidRPr="00E91463">
        <w:rPr>
          <w:rFonts w:ascii="Arial" w:hAnsi="Arial" w:cs="Arial"/>
          <w:b/>
          <w:sz w:val="32"/>
          <w:szCs w:val="32"/>
        </w:rPr>
        <w:t xml:space="preserve"> o </w:t>
      </w:r>
      <w:r w:rsidR="00375BDB" w:rsidRPr="00E91463">
        <w:rPr>
          <w:rFonts w:ascii="Arial" w:hAnsi="Arial" w:cs="Arial"/>
          <w:b/>
          <w:sz w:val="32"/>
          <w:szCs w:val="32"/>
        </w:rPr>
        <w:t>izboru članova vijeća mjesnih odbora</w:t>
      </w:r>
    </w:p>
    <w:p w:rsidR="002A494C" w:rsidRPr="00C02AE7" w:rsidRDefault="002A494C" w:rsidP="002A494C">
      <w:pPr>
        <w:jc w:val="both"/>
        <w:rPr>
          <w:rFonts w:ascii="Arial" w:hAnsi="Arial" w:cs="Arial"/>
          <w:b/>
        </w:rPr>
      </w:pPr>
    </w:p>
    <w:p w:rsidR="00454587" w:rsidRDefault="00454587" w:rsidP="001E3EE5">
      <w:pPr>
        <w:pStyle w:val="Default"/>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12" w:space="0" w:color="auto"/>
        </w:tblBorders>
        <w:tblLook w:val="04A0" w:firstRow="1" w:lastRow="0" w:firstColumn="1" w:lastColumn="0" w:noHBand="0" w:noVBand="1"/>
      </w:tblPr>
      <w:tblGrid>
        <w:gridCol w:w="2918"/>
        <w:gridCol w:w="11038"/>
      </w:tblGrid>
      <w:tr w:rsidR="003B5039" w:rsidRPr="003A242A" w:rsidTr="005425EE">
        <w:trPr>
          <w:trHeight w:val="416"/>
        </w:trPr>
        <w:tc>
          <w:tcPr>
            <w:tcW w:w="14152" w:type="dxa"/>
            <w:gridSpan w:val="2"/>
            <w:tcBorders>
              <w:top w:val="single" w:sz="18" w:space="0" w:color="auto"/>
              <w:bottom w:val="single" w:sz="2" w:space="0" w:color="auto"/>
            </w:tcBorders>
            <w:shd w:val="clear" w:color="auto" w:fill="8DB3E2"/>
            <w:vAlign w:val="center"/>
          </w:tcPr>
          <w:p w:rsidR="003B5039" w:rsidRPr="003A242A" w:rsidRDefault="003B5039" w:rsidP="0097105A">
            <w:pPr>
              <w:jc w:val="center"/>
              <w:rPr>
                <w:rFonts w:ascii="Arial" w:hAnsi="Arial" w:cs="Arial"/>
                <w:b/>
              </w:rPr>
            </w:pPr>
            <w:r w:rsidRPr="003A242A">
              <w:rPr>
                <w:rFonts w:ascii="Arial" w:hAnsi="Arial" w:cs="Arial"/>
                <w:b/>
              </w:rPr>
              <w:t>IZVJEŠĆE O PROVEDENOM SAVJETOVANJU SA ZAINTERESIRANOM JAVNOŠĆU</w:t>
            </w:r>
          </w:p>
        </w:tc>
      </w:tr>
      <w:tr w:rsidR="003B5039" w:rsidRPr="003A242A" w:rsidTr="005425EE">
        <w:trPr>
          <w:trHeight w:val="415"/>
        </w:trPr>
        <w:tc>
          <w:tcPr>
            <w:tcW w:w="14152" w:type="dxa"/>
            <w:gridSpan w:val="2"/>
            <w:tcBorders>
              <w:top w:val="single" w:sz="2" w:space="0" w:color="auto"/>
            </w:tcBorders>
            <w:vAlign w:val="center"/>
          </w:tcPr>
          <w:p w:rsidR="003B5039" w:rsidRPr="003A242A" w:rsidRDefault="003B5039" w:rsidP="00375BDB">
            <w:pPr>
              <w:jc w:val="both"/>
              <w:rPr>
                <w:rFonts w:ascii="Arial" w:hAnsi="Arial" w:cs="Arial"/>
              </w:rPr>
            </w:pPr>
            <w:r w:rsidRPr="003A242A">
              <w:rPr>
                <w:rFonts w:ascii="Arial" w:hAnsi="Arial" w:cs="Arial"/>
              </w:rPr>
              <w:t xml:space="preserve">Naziv akta o kojem je savjetovanje provedeno: </w:t>
            </w:r>
            <w:r w:rsidRPr="008647AC">
              <w:rPr>
                <w:rFonts w:ascii="Arial" w:hAnsi="Arial" w:cs="Arial"/>
                <w:b/>
              </w:rPr>
              <w:t xml:space="preserve">Nacrt Odluke o </w:t>
            </w:r>
            <w:r w:rsidR="00375BDB">
              <w:rPr>
                <w:rFonts w:ascii="Arial" w:hAnsi="Arial" w:cs="Arial"/>
                <w:b/>
              </w:rPr>
              <w:t>izboru članova vijeća mjesnih odbora</w:t>
            </w:r>
          </w:p>
        </w:tc>
      </w:tr>
      <w:tr w:rsidR="003B5039" w:rsidRPr="003A242A" w:rsidTr="005425EE">
        <w:trPr>
          <w:trHeight w:val="845"/>
        </w:trPr>
        <w:tc>
          <w:tcPr>
            <w:tcW w:w="14152" w:type="dxa"/>
            <w:gridSpan w:val="2"/>
            <w:tcBorders>
              <w:bottom w:val="single" w:sz="12" w:space="0" w:color="auto"/>
            </w:tcBorders>
            <w:vAlign w:val="center"/>
          </w:tcPr>
          <w:p w:rsidR="003B5039" w:rsidRPr="003A242A" w:rsidRDefault="003B5039" w:rsidP="00375BDB">
            <w:pPr>
              <w:jc w:val="both"/>
              <w:rPr>
                <w:rFonts w:ascii="Arial" w:hAnsi="Arial" w:cs="Arial"/>
              </w:rPr>
            </w:pPr>
            <w:r w:rsidRPr="003A242A">
              <w:rPr>
                <w:rFonts w:ascii="Arial" w:hAnsi="Arial" w:cs="Arial"/>
              </w:rPr>
              <w:t>Vrijeme trajanja savjetovanja:</w:t>
            </w:r>
            <w:r>
              <w:rPr>
                <w:rFonts w:ascii="Arial" w:hAnsi="Arial" w:cs="Arial"/>
              </w:rPr>
              <w:t xml:space="preserve"> Savjetovanje je provedeno u trajanju o</w:t>
            </w:r>
            <w:r w:rsidRPr="003A242A">
              <w:rPr>
                <w:rFonts w:ascii="Arial" w:hAnsi="Arial" w:cs="Arial"/>
              </w:rPr>
              <w:t xml:space="preserve">d </w:t>
            </w:r>
            <w:r w:rsidR="00375BDB">
              <w:rPr>
                <w:rFonts w:ascii="Arial" w:hAnsi="Arial" w:cs="Arial"/>
              </w:rPr>
              <w:t>10</w:t>
            </w:r>
            <w:r>
              <w:rPr>
                <w:rFonts w:ascii="Arial" w:hAnsi="Arial" w:cs="Arial"/>
              </w:rPr>
              <w:t xml:space="preserve"> dana, odnosno od </w:t>
            </w:r>
            <w:r w:rsidRPr="003A242A">
              <w:rPr>
                <w:rFonts w:ascii="Arial" w:hAnsi="Arial" w:cs="Arial"/>
              </w:rPr>
              <w:t xml:space="preserve">dana </w:t>
            </w:r>
            <w:r w:rsidR="00375BDB">
              <w:rPr>
                <w:rFonts w:ascii="Arial" w:hAnsi="Arial" w:cs="Arial"/>
              </w:rPr>
              <w:t>28</w:t>
            </w:r>
            <w:r w:rsidRPr="003A242A">
              <w:rPr>
                <w:rFonts w:ascii="Arial" w:hAnsi="Arial" w:cs="Arial"/>
              </w:rPr>
              <w:t xml:space="preserve">. </w:t>
            </w:r>
            <w:r w:rsidR="001E75DC">
              <w:rPr>
                <w:rFonts w:ascii="Arial" w:hAnsi="Arial" w:cs="Arial"/>
              </w:rPr>
              <w:t>rujn</w:t>
            </w:r>
            <w:r w:rsidR="008647AC">
              <w:rPr>
                <w:rFonts w:ascii="Arial" w:hAnsi="Arial" w:cs="Arial"/>
              </w:rPr>
              <w:t>a</w:t>
            </w:r>
            <w:r w:rsidRPr="003A242A">
              <w:rPr>
                <w:rFonts w:ascii="Arial" w:hAnsi="Arial" w:cs="Arial"/>
              </w:rPr>
              <w:t xml:space="preserve"> do </w:t>
            </w:r>
            <w:r w:rsidR="00375BDB">
              <w:rPr>
                <w:rFonts w:ascii="Arial" w:hAnsi="Arial" w:cs="Arial"/>
              </w:rPr>
              <w:t>7</w:t>
            </w:r>
            <w:r w:rsidRPr="003A242A">
              <w:rPr>
                <w:rFonts w:ascii="Arial" w:hAnsi="Arial" w:cs="Arial"/>
              </w:rPr>
              <w:t xml:space="preserve">. </w:t>
            </w:r>
            <w:r w:rsidR="001E75DC">
              <w:rPr>
                <w:rFonts w:ascii="Arial" w:hAnsi="Arial" w:cs="Arial"/>
              </w:rPr>
              <w:t>listopada</w:t>
            </w:r>
            <w:r w:rsidR="001E75DC" w:rsidRPr="003A242A">
              <w:rPr>
                <w:rFonts w:ascii="Arial" w:hAnsi="Arial" w:cs="Arial"/>
              </w:rPr>
              <w:t xml:space="preserve"> </w:t>
            </w:r>
            <w:r w:rsidRPr="003A242A">
              <w:rPr>
                <w:rFonts w:ascii="Arial" w:hAnsi="Arial" w:cs="Arial"/>
              </w:rPr>
              <w:t>201</w:t>
            </w:r>
            <w:r w:rsidR="00375BDB">
              <w:rPr>
                <w:rFonts w:ascii="Arial" w:hAnsi="Arial" w:cs="Arial"/>
              </w:rPr>
              <w:t>5</w:t>
            </w:r>
            <w:r w:rsidRPr="003A242A">
              <w:rPr>
                <w:rFonts w:ascii="Arial" w:hAnsi="Arial" w:cs="Arial"/>
              </w:rPr>
              <w:t>. godine</w:t>
            </w:r>
            <w:r>
              <w:rPr>
                <w:rFonts w:ascii="Arial" w:hAnsi="Arial" w:cs="Arial"/>
              </w:rPr>
              <w:t>.</w:t>
            </w:r>
          </w:p>
        </w:tc>
      </w:tr>
      <w:tr w:rsidR="003B5039" w:rsidRPr="00554B1A" w:rsidTr="005425EE">
        <w:trPr>
          <w:trHeight w:val="845"/>
        </w:trPr>
        <w:tc>
          <w:tcPr>
            <w:tcW w:w="2943" w:type="dxa"/>
            <w:tcBorders>
              <w:top w:val="single" w:sz="12" w:space="0" w:color="auto"/>
              <w:bottom w:val="single" w:sz="18" w:space="0" w:color="auto"/>
            </w:tcBorders>
            <w:vAlign w:val="center"/>
          </w:tcPr>
          <w:p w:rsidR="003B5039" w:rsidRPr="003A242A" w:rsidRDefault="003B5039" w:rsidP="0097105A">
            <w:pPr>
              <w:jc w:val="center"/>
              <w:rPr>
                <w:rFonts w:ascii="Arial" w:hAnsi="Arial" w:cs="Arial"/>
              </w:rPr>
            </w:pPr>
            <w:r w:rsidRPr="003A242A">
              <w:rPr>
                <w:rFonts w:ascii="Arial" w:hAnsi="Arial" w:cs="Arial"/>
              </w:rPr>
              <w:t>Cilj i glavne teme savjetovanja</w:t>
            </w:r>
          </w:p>
        </w:tc>
        <w:tc>
          <w:tcPr>
            <w:tcW w:w="11209" w:type="dxa"/>
            <w:tcBorders>
              <w:top w:val="single" w:sz="12" w:space="0" w:color="auto"/>
              <w:bottom w:val="single" w:sz="18" w:space="0" w:color="auto"/>
            </w:tcBorders>
            <w:vAlign w:val="center"/>
          </w:tcPr>
          <w:p w:rsidR="003B5039" w:rsidRPr="00E93D26" w:rsidRDefault="003B5039" w:rsidP="00375BDB">
            <w:pPr>
              <w:jc w:val="both"/>
            </w:pPr>
            <w:r w:rsidRPr="00E93D26">
              <w:rPr>
                <w:rFonts w:ascii="Arial" w:hAnsi="Arial" w:cs="Arial"/>
              </w:rPr>
              <w:t xml:space="preserve">Osnovni cilj savjetovanja bio je dobivanje povratnih informacija od zainteresirane javnosti u svezi rješenja predloženih nacrtom Odluke o </w:t>
            </w:r>
            <w:r w:rsidR="00375BDB" w:rsidRPr="00375BDB">
              <w:rPr>
                <w:rFonts w:ascii="Arial" w:hAnsi="Arial" w:cs="Arial"/>
              </w:rPr>
              <w:t>izboru članova vijeća mjesnih odbora</w:t>
            </w:r>
            <w:r w:rsidRPr="00E93D26">
              <w:rPr>
                <w:rFonts w:ascii="Arial" w:hAnsi="Arial" w:cs="Arial"/>
              </w:rPr>
              <w:t>, kojom s</w:t>
            </w:r>
            <w:r w:rsidR="00375BDB">
              <w:rPr>
                <w:rFonts w:ascii="Arial" w:hAnsi="Arial" w:cs="Arial"/>
              </w:rPr>
              <w:t>e</w:t>
            </w:r>
            <w:r w:rsidRPr="00E93D26">
              <w:rPr>
                <w:rFonts w:ascii="Arial" w:hAnsi="Arial" w:cs="Arial"/>
              </w:rPr>
              <w:t xml:space="preserve"> uređ</w:t>
            </w:r>
            <w:r w:rsidR="00375BDB">
              <w:rPr>
                <w:rFonts w:ascii="Arial" w:hAnsi="Arial" w:cs="Arial"/>
              </w:rPr>
              <w:t>uje</w:t>
            </w:r>
            <w:r w:rsidRPr="00E93D26">
              <w:rPr>
                <w:rFonts w:ascii="Arial" w:hAnsi="Arial" w:cs="Arial"/>
              </w:rPr>
              <w:t xml:space="preserve"> </w:t>
            </w:r>
            <w:r w:rsidR="00375BDB">
              <w:rPr>
                <w:rFonts w:ascii="Arial" w:hAnsi="Arial" w:cs="Arial"/>
              </w:rPr>
              <w:t>postupak izbora članova vijeća mjesnih odbora</w:t>
            </w:r>
            <w:r w:rsidR="0038774E">
              <w:rPr>
                <w:rFonts w:ascii="Arial" w:hAnsi="Arial" w:cs="Arial"/>
              </w:rPr>
              <w:t xml:space="preserve"> na području Grada Buzeta</w:t>
            </w:r>
          </w:p>
        </w:tc>
      </w:tr>
    </w:tbl>
    <w:p w:rsidR="003B5039" w:rsidRDefault="003B5039" w:rsidP="00B375F8">
      <w:bookmarkStart w:id="0" w:name="_GoBack"/>
      <w:bookmarkEnd w:id="0"/>
    </w:p>
    <w:tbl>
      <w:tblPr>
        <w:tblW w:w="13869"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firstRow="1" w:lastRow="0" w:firstColumn="1" w:lastColumn="0" w:noHBand="0" w:noVBand="1"/>
      </w:tblPr>
      <w:tblGrid>
        <w:gridCol w:w="694"/>
        <w:gridCol w:w="1410"/>
        <w:gridCol w:w="1559"/>
        <w:gridCol w:w="5103"/>
        <w:gridCol w:w="5103"/>
      </w:tblGrid>
      <w:tr w:rsidR="003B5039" w:rsidRPr="008647AC" w:rsidTr="00E91463">
        <w:tc>
          <w:tcPr>
            <w:tcW w:w="694" w:type="dxa"/>
            <w:vAlign w:val="center"/>
          </w:tcPr>
          <w:p w:rsidR="003B5039" w:rsidRPr="008647AC" w:rsidRDefault="003B5039" w:rsidP="0097105A">
            <w:pPr>
              <w:jc w:val="center"/>
              <w:rPr>
                <w:rFonts w:ascii="Arial" w:hAnsi="Arial" w:cs="Arial"/>
                <w:sz w:val="20"/>
                <w:szCs w:val="20"/>
              </w:rPr>
            </w:pPr>
            <w:r w:rsidRPr="008647AC">
              <w:rPr>
                <w:rFonts w:ascii="Arial" w:hAnsi="Arial" w:cs="Arial"/>
                <w:sz w:val="20"/>
                <w:szCs w:val="20"/>
              </w:rPr>
              <w:t>Redni broj</w:t>
            </w:r>
          </w:p>
        </w:tc>
        <w:tc>
          <w:tcPr>
            <w:tcW w:w="1410" w:type="dxa"/>
            <w:vAlign w:val="center"/>
          </w:tcPr>
          <w:p w:rsidR="003B5039" w:rsidRPr="008647AC" w:rsidRDefault="003B5039" w:rsidP="0097105A">
            <w:pPr>
              <w:jc w:val="center"/>
              <w:rPr>
                <w:rFonts w:ascii="Arial" w:hAnsi="Arial" w:cs="Arial"/>
                <w:sz w:val="20"/>
                <w:szCs w:val="20"/>
              </w:rPr>
            </w:pPr>
            <w:r w:rsidRPr="008647AC">
              <w:rPr>
                <w:rFonts w:ascii="Arial" w:hAnsi="Arial" w:cs="Arial"/>
                <w:sz w:val="20"/>
                <w:szCs w:val="20"/>
              </w:rPr>
              <w:t>Naziv dionika (pojedinac, organizacija, institucija)</w:t>
            </w:r>
          </w:p>
        </w:tc>
        <w:tc>
          <w:tcPr>
            <w:tcW w:w="1559" w:type="dxa"/>
            <w:vAlign w:val="center"/>
          </w:tcPr>
          <w:p w:rsidR="003B5039" w:rsidRPr="008647AC" w:rsidRDefault="003B5039" w:rsidP="0097105A">
            <w:pPr>
              <w:jc w:val="center"/>
              <w:rPr>
                <w:rFonts w:ascii="Arial" w:hAnsi="Arial" w:cs="Arial"/>
                <w:sz w:val="20"/>
                <w:szCs w:val="20"/>
              </w:rPr>
            </w:pPr>
            <w:r w:rsidRPr="008647AC">
              <w:rPr>
                <w:rFonts w:ascii="Arial" w:hAnsi="Arial" w:cs="Arial"/>
                <w:sz w:val="20"/>
                <w:szCs w:val="20"/>
              </w:rPr>
              <w:t>Članak na koji se odnosi primjedba/</w:t>
            </w:r>
          </w:p>
          <w:p w:rsidR="003B5039" w:rsidRPr="008647AC" w:rsidRDefault="003B5039" w:rsidP="0097105A">
            <w:pPr>
              <w:jc w:val="center"/>
              <w:rPr>
                <w:rFonts w:ascii="Arial" w:hAnsi="Arial" w:cs="Arial"/>
                <w:sz w:val="20"/>
                <w:szCs w:val="20"/>
              </w:rPr>
            </w:pPr>
            <w:r w:rsidRPr="008647AC">
              <w:rPr>
                <w:rFonts w:ascii="Arial" w:hAnsi="Arial" w:cs="Arial"/>
                <w:sz w:val="20"/>
                <w:szCs w:val="20"/>
              </w:rPr>
              <w:t>prijedlog</w:t>
            </w:r>
          </w:p>
        </w:tc>
        <w:tc>
          <w:tcPr>
            <w:tcW w:w="5103" w:type="dxa"/>
            <w:vAlign w:val="center"/>
          </w:tcPr>
          <w:p w:rsidR="003B5039" w:rsidRPr="008647AC" w:rsidRDefault="003B5039" w:rsidP="0097105A">
            <w:pPr>
              <w:jc w:val="center"/>
              <w:rPr>
                <w:rFonts w:ascii="Arial" w:hAnsi="Arial" w:cs="Arial"/>
                <w:sz w:val="20"/>
                <w:szCs w:val="20"/>
              </w:rPr>
            </w:pPr>
            <w:r w:rsidRPr="008647AC">
              <w:rPr>
                <w:rFonts w:ascii="Arial" w:hAnsi="Arial" w:cs="Arial"/>
                <w:sz w:val="20"/>
                <w:szCs w:val="20"/>
              </w:rPr>
              <w:t>Tekst primjedbe/prijedloga</w:t>
            </w:r>
          </w:p>
        </w:tc>
        <w:tc>
          <w:tcPr>
            <w:tcW w:w="5103" w:type="dxa"/>
            <w:vAlign w:val="center"/>
          </w:tcPr>
          <w:p w:rsidR="003B5039" w:rsidRPr="008647AC" w:rsidRDefault="003B5039" w:rsidP="0097105A">
            <w:pPr>
              <w:jc w:val="center"/>
              <w:rPr>
                <w:rFonts w:ascii="Arial" w:hAnsi="Arial" w:cs="Arial"/>
                <w:sz w:val="20"/>
                <w:szCs w:val="20"/>
              </w:rPr>
            </w:pPr>
            <w:r w:rsidRPr="008647AC">
              <w:rPr>
                <w:rFonts w:ascii="Arial" w:hAnsi="Arial" w:cs="Arial"/>
                <w:sz w:val="20"/>
                <w:szCs w:val="20"/>
              </w:rPr>
              <w:t>Prihvaćanje/ neprihvaćanje primjedbe ili prijedloga</w:t>
            </w:r>
          </w:p>
        </w:tc>
      </w:tr>
      <w:tr w:rsidR="00375BDB" w:rsidRPr="008647AC" w:rsidTr="00E91463">
        <w:trPr>
          <w:trHeight w:val="1013"/>
        </w:trPr>
        <w:tc>
          <w:tcPr>
            <w:tcW w:w="694" w:type="dxa"/>
            <w:vMerge w:val="restart"/>
          </w:tcPr>
          <w:p w:rsidR="00375BDB" w:rsidRPr="008647AC" w:rsidRDefault="00375BDB" w:rsidP="0038774E">
            <w:pPr>
              <w:jc w:val="center"/>
              <w:rPr>
                <w:rFonts w:ascii="Arial" w:hAnsi="Arial" w:cs="Arial"/>
                <w:sz w:val="20"/>
                <w:szCs w:val="20"/>
              </w:rPr>
            </w:pPr>
            <w:r>
              <w:rPr>
                <w:rFonts w:ascii="Arial" w:hAnsi="Arial" w:cs="Arial"/>
                <w:sz w:val="20"/>
                <w:szCs w:val="20"/>
              </w:rPr>
              <w:t>1.</w:t>
            </w:r>
          </w:p>
          <w:p w:rsidR="00375BDB" w:rsidRPr="008647AC" w:rsidRDefault="00375BDB" w:rsidP="0097105A">
            <w:pPr>
              <w:jc w:val="center"/>
              <w:rPr>
                <w:rFonts w:ascii="Arial" w:hAnsi="Arial" w:cs="Arial"/>
                <w:sz w:val="20"/>
                <w:szCs w:val="20"/>
              </w:rPr>
            </w:pPr>
          </w:p>
          <w:p w:rsidR="00375BDB" w:rsidRPr="008647AC" w:rsidRDefault="00375BDB" w:rsidP="0097105A">
            <w:pPr>
              <w:jc w:val="center"/>
              <w:rPr>
                <w:rFonts w:ascii="Arial" w:hAnsi="Arial" w:cs="Arial"/>
                <w:sz w:val="20"/>
                <w:szCs w:val="20"/>
              </w:rPr>
            </w:pPr>
          </w:p>
          <w:p w:rsidR="00375BDB" w:rsidRPr="008647AC" w:rsidRDefault="00375BDB" w:rsidP="0097105A">
            <w:pPr>
              <w:jc w:val="center"/>
              <w:rPr>
                <w:rFonts w:ascii="Arial" w:hAnsi="Arial" w:cs="Arial"/>
                <w:sz w:val="20"/>
                <w:szCs w:val="20"/>
              </w:rPr>
            </w:pPr>
          </w:p>
          <w:p w:rsidR="00375BDB" w:rsidRPr="008647AC" w:rsidRDefault="00375BDB" w:rsidP="0097105A">
            <w:pPr>
              <w:jc w:val="center"/>
              <w:rPr>
                <w:rFonts w:ascii="Arial" w:hAnsi="Arial" w:cs="Arial"/>
                <w:sz w:val="20"/>
                <w:szCs w:val="20"/>
              </w:rPr>
            </w:pPr>
          </w:p>
        </w:tc>
        <w:tc>
          <w:tcPr>
            <w:tcW w:w="1410" w:type="dxa"/>
            <w:vMerge w:val="restart"/>
          </w:tcPr>
          <w:p w:rsidR="00375BDB" w:rsidRDefault="00375BDB" w:rsidP="00D35CAD">
            <w:pPr>
              <w:rPr>
                <w:rFonts w:ascii="Arial" w:hAnsi="Arial" w:cs="Arial"/>
                <w:sz w:val="20"/>
                <w:szCs w:val="20"/>
              </w:rPr>
            </w:pPr>
            <w:r>
              <w:rPr>
                <w:rFonts w:ascii="Arial" w:hAnsi="Arial" w:cs="Arial"/>
                <w:b/>
                <w:sz w:val="20"/>
                <w:szCs w:val="20"/>
              </w:rPr>
              <w:t>Vedran Majcan</w:t>
            </w:r>
            <w:r>
              <w:rPr>
                <w:rFonts w:ascii="Arial" w:hAnsi="Arial" w:cs="Arial"/>
                <w:sz w:val="20"/>
                <w:szCs w:val="20"/>
              </w:rPr>
              <w:t>,</w:t>
            </w:r>
          </w:p>
          <w:p w:rsidR="00375BDB" w:rsidRPr="008647AC" w:rsidRDefault="00375BDB" w:rsidP="00D35CAD">
            <w:pPr>
              <w:rPr>
                <w:rFonts w:ascii="Arial" w:hAnsi="Arial" w:cs="Arial"/>
                <w:sz w:val="20"/>
                <w:szCs w:val="20"/>
              </w:rPr>
            </w:pPr>
            <w:r>
              <w:rPr>
                <w:rFonts w:ascii="Arial" w:hAnsi="Arial" w:cs="Arial"/>
                <w:sz w:val="20"/>
                <w:szCs w:val="20"/>
              </w:rPr>
              <w:t>Član Gradskog vijeća Grada Buzeta</w:t>
            </w:r>
          </w:p>
        </w:tc>
        <w:tc>
          <w:tcPr>
            <w:tcW w:w="1559" w:type="dxa"/>
          </w:tcPr>
          <w:p w:rsidR="00375BDB" w:rsidRDefault="00375BDB" w:rsidP="00375BDB">
            <w:pPr>
              <w:rPr>
                <w:rFonts w:ascii="Arial" w:hAnsi="Arial" w:cs="Arial"/>
                <w:sz w:val="20"/>
                <w:szCs w:val="20"/>
              </w:rPr>
            </w:pPr>
            <w:r>
              <w:rPr>
                <w:rFonts w:ascii="Arial" w:hAnsi="Arial" w:cs="Arial"/>
                <w:sz w:val="20"/>
                <w:szCs w:val="20"/>
              </w:rPr>
              <w:t>a) Uvod Odluke</w:t>
            </w:r>
          </w:p>
        </w:tc>
        <w:tc>
          <w:tcPr>
            <w:tcW w:w="5103" w:type="dxa"/>
          </w:tcPr>
          <w:p w:rsidR="00375BDB" w:rsidRPr="00375BDB" w:rsidRDefault="00375BDB" w:rsidP="00375BDB">
            <w:pPr>
              <w:jc w:val="both"/>
              <w:rPr>
                <w:rFonts w:ascii="Arial" w:hAnsi="Arial" w:cs="Arial"/>
                <w:sz w:val="20"/>
                <w:szCs w:val="20"/>
              </w:rPr>
            </w:pPr>
            <w:r w:rsidRPr="00375BDB">
              <w:rPr>
                <w:rFonts w:ascii="Arial" w:hAnsi="Arial" w:cs="Arial"/>
                <w:sz w:val="20"/>
                <w:szCs w:val="20"/>
              </w:rPr>
              <w:t>U</w:t>
            </w:r>
            <w:r w:rsidRPr="00375BDB">
              <w:rPr>
                <w:rFonts w:ascii="Arial" w:hAnsi="Arial" w:cs="Arial"/>
                <w:sz w:val="20"/>
                <w:szCs w:val="20"/>
              </w:rPr>
              <w:t xml:space="preserve"> preambuli teksta (uvodu) potrebno se pozvati na članak 72. st</w:t>
            </w:r>
            <w:r>
              <w:rPr>
                <w:rFonts w:ascii="Arial" w:hAnsi="Arial" w:cs="Arial"/>
                <w:sz w:val="20"/>
                <w:szCs w:val="20"/>
              </w:rPr>
              <w:t xml:space="preserve">avak </w:t>
            </w:r>
            <w:r w:rsidRPr="00375BDB">
              <w:rPr>
                <w:rFonts w:ascii="Arial" w:hAnsi="Arial" w:cs="Arial"/>
                <w:sz w:val="20"/>
                <w:szCs w:val="20"/>
              </w:rPr>
              <w:t>3. Statuta Grada Buzeta jer je to jedini pravni temelj koji obvezuje Grad Buzet da kod izbora u vijeća mjesnih odbora izbore provede prema važećem propisu o izborima za jedinice lokalne uprave i samouprave, što je u ovom slučaju Zakon o lokalnim izborima. Navedeni zakon uopće ne propisuje obveznu primjenu tog zakona na izbore za mjesne odbore, stoga ni pozivanje na čl. 139. (usklađenje) tog Zakona čini se pogrešno. Iz navedenog proizlazi da Odluku valja uskladiti s Zakonom o lokalnim izborima kao okviru, ali također na način da se Odluka prilagodi specifičnostima takvih izbora</w:t>
            </w:r>
          </w:p>
        </w:tc>
        <w:tc>
          <w:tcPr>
            <w:tcW w:w="5103" w:type="dxa"/>
          </w:tcPr>
          <w:p w:rsidR="005425EE" w:rsidRDefault="00375BDB" w:rsidP="0038774E">
            <w:pPr>
              <w:rPr>
                <w:rFonts w:ascii="Arial" w:hAnsi="Arial" w:cs="Arial"/>
                <w:sz w:val="20"/>
                <w:szCs w:val="20"/>
              </w:rPr>
            </w:pPr>
            <w:r>
              <w:rPr>
                <w:rFonts w:ascii="Arial" w:hAnsi="Arial" w:cs="Arial"/>
                <w:b/>
                <w:sz w:val="20"/>
                <w:szCs w:val="20"/>
              </w:rPr>
              <w:t>Ne p</w:t>
            </w:r>
            <w:r w:rsidRPr="00D35CAD">
              <w:rPr>
                <w:rFonts w:ascii="Arial" w:hAnsi="Arial" w:cs="Arial"/>
                <w:b/>
                <w:sz w:val="20"/>
                <w:szCs w:val="20"/>
              </w:rPr>
              <w:t>rihvaća se</w:t>
            </w:r>
            <w:r w:rsidR="005425EE">
              <w:rPr>
                <w:rFonts w:ascii="Arial" w:hAnsi="Arial" w:cs="Arial"/>
                <w:sz w:val="20"/>
                <w:szCs w:val="20"/>
              </w:rPr>
              <w:t>.</w:t>
            </w:r>
          </w:p>
          <w:p w:rsidR="00375BDB" w:rsidRDefault="00375BDB" w:rsidP="0038774E">
            <w:pPr>
              <w:rPr>
                <w:rFonts w:ascii="Arial" w:hAnsi="Arial" w:cs="Arial"/>
                <w:sz w:val="20"/>
                <w:szCs w:val="20"/>
              </w:rPr>
            </w:pPr>
            <w:r>
              <w:rPr>
                <w:rFonts w:ascii="Arial" w:hAnsi="Arial" w:cs="Arial"/>
                <w:sz w:val="20"/>
                <w:szCs w:val="20"/>
              </w:rPr>
              <w:t xml:space="preserve">Odredba članka 61. </w:t>
            </w:r>
            <w:r w:rsidR="005425EE">
              <w:rPr>
                <w:rFonts w:ascii="Arial" w:hAnsi="Arial" w:cs="Arial"/>
                <w:sz w:val="20"/>
                <w:szCs w:val="20"/>
              </w:rPr>
              <w:t xml:space="preserve">stavak 4. </w:t>
            </w:r>
            <w:r>
              <w:rPr>
                <w:rFonts w:ascii="Arial" w:hAnsi="Arial" w:cs="Arial"/>
                <w:sz w:val="20"/>
                <w:szCs w:val="20"/>
              </w:rPr>
              <w:t xml:space="preserve">Zakona o </w:t>
            </w:r>
            <w:r w:rsidR="005425EE">
              <w:rPr>
                <w:rFonts w:ascii="Arial" w:hAnsi="Arial" w:cs="Arial"/>
                <w:sz w:val="20"/>
                <w:szCs w:val="20"/>
              </w:rPr>
              <w:t>l</w:t>
            </w:r>
            <w:r>
              <w:rPr>
                <w:rFonts w:ascii="Arial" w:hAnsi="Arial" w:cs="Arial"/>
                <w:sz w:val="20"/>
                <w:szCs w:val="20"/>
              </w:rPr>
              <w:t>okaln</w:t>
            </w:r>
            <w:r w:rsidR="005425EE">
              <w:rPr>
                <w:rFonts w:ascii="Arial" w:hAnsi="Arial" w:cs="Arial"/>
                <w:sz w:val="20"/>
                <w:szCs w:val="20"/>
              </w:rPr>
              <w:t>oj i područnoj (regionalnoj) samoupravi jasno određuje da „…</w:t>
            </w:r>
            <w:r w:rsidR="005425EE" w:rsidRPr="005425EE">
              <w:rPr>
                <w:rFonts w:ascii="Arial" w:hAnsi="Arial" w:cs="Arial"/>
                <w:sz w:val="20"/>
                <w:szCs w:val="20"/>
              </w:rPr>
              <w:t>Postupak izbora članova vijeća mjesnog odbora uređuje predstavničko tijelo općim aktom, odgovarajućom primjenom odredaba zakona kojim se uređuje izbor članova predstavničkih tijela jedinica lokalne samouprave</w:t>
            </w:r>
            <w:r w:rsidR="005425EE">
              <w:rPr>
                <w:rFonts w:ascii="Arial" w:hAnsi="Arial" w:cs="Arial"/>
                <w:sz w:val="20"/>
                <w:szCs w:val="20"/>
              </w:rPr>
              <w:t>…“</w:t>
            </w:r>
          </w:p>
          <w:p w:rsidR="005425EE" w:rsidRDefault="005425EE" w:rsidP="0038774E">
            <w:pPr>
              <w:rPr>
                <w:rFonts w:ascii="Arial" w:hAnsi="Arial" w:cs="Arial"/>
                <w:sz w:val="20"/>
                <w:szCs w:val="20"/>
              </w:rPr>
            </w:pPr>
          </w:p>
          <w:p w:rsidR="00375BDB" w:rsidRPr="008647AC" w:rsidRDefault="005425EE" w:rsidP="00D35CAD">
            <w:pPr>
              <w:rPr>
                <w:rFonts w:ascii="Arial" w:hAnsi="Arial" w:cs="Arial"/>
                <w:sz w:val="20"/>
                <w:szCs w:val="20"/>
              </w:rPr>
            </w:pPr>
            <w:r>
              <w:rPr>
                <w:rFonts w:ascii="Arial" w:hAnsi="Arial" w:cs="Arial"/>
                <w:sz w:val="20"/>
                <w:szCs w:val="20"/>
              </w:rPr>
              <w:t>Slijedom toga, neosporno je da je zakon koji uređuje predmetnu materiju upravo Zakon o lokalnim izborima i čije su odredbe gotovo u potpunosti kogentne naravi.</w:t>
            </w:r>
          </w:p>
        </w:tc>
      </w:tr>
      <w:tr w:rsidR="00375BDB" w:rsidRPr="008647AC" w:rsidTr="00E91463">
        <w:trPr>
          <w:trHeight w:val="1011"/>
        </w:trPr>
        <w:tc>
          <w:tcPr>
            <w:tcW w:w="694" w:type="dxa"/>
            <w:vMerge/>
          </w:tcPr>
          <w:p w:rsidR="00375BDB" w:rsidRDefault="00375BDB" w:rsidP="0038774E">
            <w:pPr>
              <w:jc w:val="center"/>
              <w:rPr>
                <w:rFonts w:ascii="Arial" w:hAnsi="Arial" w:cs="Arial"/>
                <w:sz w:val="20"/>
                <w:szCs w:val="20"/>
              </w:rPr>
            </w:pPr>
          </w:p>
        </w:tc>
        <w:tc>
          <w:tcPr>
            <w:tcW w:w="1410" w:type="dxa"/>
            <w:vMerge/>
          </w:tcPr>
          <w:p w:rsidR="00375BDB" w:rsidRDefault="00375BDB" w:rsidP="00D35CAD">
            <w:pPr>
              <w:rPr>
                <w:rFonts w:ascii="Arial" w:hAnsi="Arial" w:cs="Arial"/>
                <w:b/>
                <w:sz w:val="20"/>
                <w:szCs w:val="20"/>
              </w:rPr>
            </w:pPr>
          </w:p>
        </w:tc>
        <w:tc>
          <w:tcPr>
            <w:tcW w:w="1559" w:type="dxa"/>
          </w:tcPr>
          <w:p w:rsidR="00375BDB" w:rsidRDefault="005425EE" w:rsidP="0038774E">
            <w:pPr>
              <w:rPr>
                <w:rFonts w:ascii="Arial" w:hAnsi="Arial" w:cs="Arial"/>
                <w:sz w:val="20"/>
                <w:szCs w:val="20"/>
              </w:rPr>
            </w:pPr>
            <w:r>
              <w:rPr>
                <w:rFonts w:ascii="Arial" w:hAnsi="Arial" w:cs="Arial"/>
                <w:sz w:val="20"/>
                <w:szCs w:val="20"/>
              </w:rPr>
              <w:t>b) Članak 9. stavak 4. Odluke</w:t>
            </w:r>
          </w:p>
        </w:tc>
        <w:tc>
          <w:tcPr>
            <w:tcW w:w="5103" w:type="dxa"/>
          </w:tcPr>
          <w:p w:rsidR="00375BDB" w:rsidRDefault="005425EE" w:rsidP="005425EE">
            <w:pPr>
              <w:jc w:val="both"/>
              <w:rPr>
                <w:rFonts w:ascii="Arial" w:hAnsi="Arial" w:cs="Arial"/>
                <w:sz w:val="20"/>
                <w:szCs w:val="20"/>
              </w:rPr>
            </w:pPr>
            <w:r>
              <w:rPr>
                <w:rFonts w:ascii="Arial" w:hAnsi="Arial" w:cs="Arial"/>
                <w:sz w:val="20"/>
                <w:szCs w:val="20"/>
              </w:rPr>
              <w:t>U članku 9. stavku 4. Odluke</w:t>
            </w:r>
            <w:r w:rsidRPr="005425EE">
              <w:rPr>
                <w:rFonts w:ascii="Arial" w:hAnsi="Arial" w:cs="Arial"/>
                <w:sz w:val="20"/>
                <w:szCs w:val="20"/>
              </w:rPr>
              <w:t xml:space="preserve"> predviđeno je prikupljanje potpisa birača kad predlagatelji predlažu kandidacijsku listu grupe birača i</w:t>
            </w:r>
            <w:r>
              <w:rPr>
                <w:rFonts w:ascii="Arial" w:hAnsi="Arial" w:cs="Arial"/>
                <w:sz w:val="20"/>
                <w:szCs w:val="20"/>
              </w:rPr>
              <w:t xml:space="preserve"> </w:t>
            </w:r>
            <w:r w:rsidRPr="005425EE">
              <w:rPr>
                <w:rFonts w:ascii="Arial" w:hAnsi="Arial" w:cs="Arial"/>
                <w:sz w:val="20"/>
                <w:szCs w:val="20"/>
              </w:rPr>
              <w:t>to 10% ukupnog broja birača s područja mjesnog odbora.</w:t>
            </w:r>
            <w:r>
              <w:rPr>
                <w:rFonts w:ascii="Arial" w:hAnsi="Arial" w:cs="Arial"/>
                <w:sz w:val="20"/>
                <w:szCs w:val="20"/>
              </w:rPr>
              <w:t xml:space="preserve"> </w:t>
            </w:r>
            <w:r w:rsidRPr="005425EE">
              <w:rPr>
                <w:rFonts w:ascii="Arial" w:hAnsi="Arial" w:cs="Arial"/>
                <w:sz w:val="20"/>
                <w:szCs w:val="20"/>
              </w:rPr>
              <w:t>Tu je odstupljeno od odredaba Zakona o lokalnim izborima koji je propisao skalu u broju potpisa s točno određenim brojem u odnosu na broj birača. Broj potpisa od 10% svakako je prevelik jer je u nekim slučajevima broj potpisa (npr. za mjesni odbor Buzet) možda i veći od potrebnog broja potpisa za k</w:t>
            </w:r>
            <w:r>
              <w:rPr>
                <w:rFonts w:ascii="Arial" w:hAnsi="Arial" w:cs="Arial"/>
                <w:sz w:val="20"/>
                <w:szCs w:val="20"/>
              </w:rPr>
              <w:t>andidaturu za gradonačelnika!</w:t>
            </w:r>
            <w:r w:rsidRPr="005425EE">
              <w:rPr>
                <w:rFonts w:ascii="Arial" w:hAnsi="Arial" w:cs="Arial"/>
                <w:sz w:val="20"/>
                <w:szCs w:val="20"/>
              </w:rPr>
              <w:t xml:space="preserve"> U svakom slučaju najbolje bi bilo propisati fiksni broj potpisa koje je potrebno skupiti za svaki mjesni odbor a da taj broj ne bude veći od 5% ukupnog broja birača. Ovako propisana stopa od 10% potpuno je nejasna jer se unaprijed ne zna koji je broj birača u biračkom popisu i gdje se i u kojem ro</w:t>
            </w:r>
            <w:r>
              <w:rPr>
                <w:rFonts w:ascii="Arial" w:hAnsi="Arial" w:cs="Arial"/>
                <w:sz w:val="20"/>
                <w:szCs w:val="20"/>
              </w:rPr>
              <w:t>ku može dobiti egzaktan podatak</w:t>
            </w:r>
            <w:r w:rsidRPr="005425EE">
              <w:rPr>
                <w:rFonts w:ascii="Arial" w:hAnsi="Arial" w:cs="Arial"/>
                <w:sz w:val="20"/>
                <w:szCs w:val="20"/>
              </w:rPr>
              <w:t>, a velik broj potpisa destimulira građane u aktivnijem angažmanu i namjeri participacije za rad u mjesnim odborima.</w:t>
            </w:r>
          </w:p>
        </w:tc>
        <w:tc>
          <w:tcPr>
            <w:tcW w:w="5103" w:type="dxa"/>
          </w:tcPr>
          <w:p w:rsidR="005425EE" w:rsidRDefault="00375BDB" w:rsidP="00375BDB">
            <w:pPr>
              <w:rPr>
                <w:rFonts w:ascii="Arial" w:hAnsi="Arial" w:cs="Arial"/>
                <w:sz w:val="20"/>
                <w:szCs w:val="20"/>
              </w:rPr>
            </w:pPr>
            <w:r>
              <w:rPr>
                <w:rFonts w:ascii="Arial" w:hAnsi="Arial" w:cs="Arial"/>
                <w:sz w:val="20"/>
                <w:szCs w:val="20"/>
              </w:rPr>
              <w:t xml:space="preserve">b) </w:t>
            </w:r>
            <w:r w:rsidR="005425EE">
              <w:rPr>
                <w:rFonts w:ascii="Arial" w:hAnsi="Arial" w:cs="Arial"/>
                <w:b/>
                <w:sz w:val="20"/>
                <w:szCs w:val="20"/>
              </w:rPr>
              <w:t>Djelomično se</w:t>
            </w:r>
            <w:r w:rsidRPr="00D35CAD">
              <w:rPr>
                <w:rFonts w:ascii="Arial" w:hAnsi="Arial" w:cs="Arial"/>
                <w:b/>
                <w:sz w:val="20"/>
                <w:szCs w:val="20"/>
              </w:rPr>
              <w:t xml:space="preserve"> prihvaća</w:t>
            </w:r>
            <w:r w:rsidR="005425EE">
              <w:rPr>
                <w:rFonts w:ascii="Arial" w:hAnsi="Arial" w:cs="Arial"/>
                <w:sz w:val="20"/>
                <w:szCs w:val="20"/>
              </w:rPr>
              <w:t>.</w:t>
            </w:r>
          </w:p>
          <w:p w:rsidR="00375BDB" w:rsidRDefault="005425EE" w:rsidP="0092697D">
            <w:pPr>
              <w:jc w:val="both"/>
              <w:rPr>
                <w:rFonts w:ascii="Arial" w:hAnsi="Arial" w:cs="Arial"/>
                <w:sz w:val="20"/>
                <w:szCs w:val="20"/>
              </w:rPr>
            </w:pPr>
            <w:r>
              <w:rPr>
                <w:rFonts w:ascii="Arial" w:hAnsi="Arial" w:cs="Arial"/>
                <w:sz w:val="20"/>
                <w:szCs w:val="20"/>
              </w:rPr>
              <w:t>I iz postavljene primjedbe vidljivo je da se kod ove odredbe Zakona o lokalnim izborima radi o pitanju kod kojeg je potrebno pronaći odgovarajući način primjedbe</w:t>
            </w:r>
            <w:r w:rsidR="00375BDB">
              <w:rPr>
                <w:rFonts w:ascii="Arial" w:hAnsi="Arial" w:cs="Arial"/>
                <w:sz w:val="20"/>
                <w:szCs w:val="20"/>
              </w:rPr>
              <w:t>.</w:t>
            </w:r>
          </w:p>
          <w:p w:rsidR="005425EE" w:rsidRDefault="005425EE" w:rsidP="0092697D">
            <w:pPr>
              <w:jc w:val="both"/>
              <w:rPr>
                <w:rFonts w:ascii="Arial" w:hAnsi="Arial" w:cs="Arial"/>
                <w:sz w:val="20"/>
                <w:szCs w:val="20"/>
              </w:rPr>
            </w:pPr>
          </w:p>
          <w:p w:rsidR="005425EE" w:rsidRDefault="005425EE" w:rsidP="0092697D">
            <w:pPr>
              <w:jc w:val="both"/>
              <w:rPr>
                <w:rFonts w:ascii="Arial" w:hAnsi="Arial" w:cs="Arial"/>
                <w:sz w:val="20"/>
                <w:szCs w:val="20"/>
              </w:rPr>
            </w:pPr>
            <w:r>
              <w:rPr>
                <w:rFonts w:ascii="Arial" w:hAnsi="Arial" w:cs="Arial"/>
                <w:sz w:val="20"/>
                <w:szCs w:val="20"/>
              </w:rPr>
              <w:t>Odredba o 10% potpisa je prenesena iz važeće Odluke</w:t>
            </w:r>
            <w:r w:rsidR="0092697D">
              <w:rPr>
                <w:rFonts w:ascii="Arial" w:hAnsi="Arial" w:cs="Arial"/>
                <w:sz w:val="20"/>
                <w:szCs w:val="20"/>
              </w:rPr>
              <w:t>, smatrajući da može biti odgovarajuće primjenjiva prema Zakonu. Dosadašnja iskustva pokazuju da su pojedine nezavisne liste uspješno prikupile traženi broj potpisa i da su nakon toga imale uspjeha u izbornoj utakmici.</w:t>
            </w:r>
          </w:p>
          <w:p w:rsidR="00375BDB" w:rsidRDefault="00375BDB" w:rsidP="0092697D">
            <w:pPr>
              <w:jc w:val="both"/>
              <w:rPr>
                <w:rFonts w:ascii="Arial" w:hAnsi="Arial" w:cs="Arial"/>
                <w:sz w:val="20"/>
                <w:szCs w:val="20"/>
              </w:rPr>
            </w:pPr>
          </w:p>
          <w:p w:rsidR="0092697D" w:rsidRDefault="0092697D" w:rsidP="0092697D">
            <w:pPr>
              <w:jc w:val="both"/>
              <w:rPr>
                <w:rFonts w:ascii="Arial" w:hAnsi="Arial" w:cs="Arial"/>
                <w:sz w:val="20"/>
                <w:szCs w:val="20"/>
              </w:rPr>
            </w:pPr>
            <w:r>
              <w:rPr>
                <w:rFonts w:ascii="Arial" w:hAnsi="Arial" w:cs="Arial"/>
                <w:sz w:val="20"/>
                <w:szCs w:val="20"/>
              </w:rPr>
              <w:t>Broj potrebnih potpisa birača nije nepoznati podatak s obzirom da nadležni ured državne uprave prije svakih izbora objavljuje navedeni podatak, a i na području Grada Buzeta u posljednjih 20 i više godina nije bilo značajnijih odstupanja broja stanovnika u razdobljima između dvaju izbora.</w:t>
            </w:r>
          </w:p>
          <w:p w:rsidR="0092697D" w:rsidRDefault="0092697D" w:rsidP="0092697D">
            <w:pPr>
              <w:jc w:val="both"/>
              <w:rPr>
                <w:rFonts w:ascii="Arial" w:hAnsi="Arial" w:cs="Arial"/>
                <w:sz w:val="20"/>
                <w:szCs w:val="20"/>
              </w:rPr>
            </w:pPr>
          </w:p>
          <w:p w:rsidR="00375BDB" w:rsidRDefault="0092697D" w:rsidP="0092697D">
            <w:pPr>
              <w:jc w:val="both"/>
              <w:rPr>
                <w:rFonts w:ascii="Arial" w:hAnsi="Arial" w:cs="Arial"/>
                <w:sz w:val="20"/>
                <w:szCs w:val="20"/>
              </w:rPr>
            </w:pPr>
            <w:r>
              <w:rPr>
                <w:rFonts w:ascii="Arial" w:hAnsi="Arial" w:cs="Arial"/>
                <w:sz w:val="20"/>
                <w:szCs w:val="20"/>
              </w:rPr>
              <w:t>Druga mogućnost je izračunavanje razmjernog broja potrebnih potpisa prema odredbama Zakona o lokalnim izborima na način da se broj potrebnih potpisa i broj stanovnika područnih jedinica iz članka 11. Zakona za svaku skupinu umanji za 10 puta.</w:t>
            </w:r>
          </w:p>
          <w:p w:rsidR="0092697D" w:rsidRDefault="0092697D" w:rsidP="0092697D">
            <w:pPr>
              <w:jc w:val="both"/>
              <w:rPr>
                <w:rFonts w:ascii="Arial" w:hAnsi="Arial" w:cs="Arial"/>
                <w:sz w:val="20"/>
                <w:szCs w:val="20"/>
              </w:rPr>
            </w:pPr>
          </w:p>
          <w:p w:rsidR="0092697D" w:rsidRDefault="0092697D" w:rsidP="00017C2C">
            <w:pPr>
              <w:jc w:val="both"/>
              <w:rPr>
                <w:rFonts w:ascii="Arial" w:hAnsi="Arial" w:cs="Arial"/>
                <w:sz w:val="20"/>
                <w:szCs w:val="20"/>
              </w:rPr>
            </w:pPr>
            <w:r>
              <w:rPr>
                <w:rFonts w:ascii="Arial" w:hAnsi="Arial" w:cs="Arial"/>
                <w:sz w:val="20"/>
                <w:szCs w:val="20"/>
              </w:rPr>
              <w:t xml:space="preserve">Prije donošenja </w:t>
            </w:r>
            <w:r w:rsidR="00017C2C">
              <w:rPr>
                <w:rFonts w:ascii="Arial" w:hAnsi="Arial" w:cs="Arial"/>
                <w:sz w:val="20"/>
                <w:szCs w:val="20"/>
              </w:rPr>
              <w:t>konač</w:t>
            </w:r>
            <w:r>
              <w:rPr>
                <w:rFonts w:ascii="Arial" w:hAnsi="Arial" w:cs="Arial"/>
                <w:sz w:val="20"/>
                <w:szCs w:val="20"/>
              </w:rPr>
              <w:t>ne odluke, svakako bi bilo potrebno konzultirati mišljenja stručnjaka radnih tijela zaduženih za ovo područje.</w:t>
            </w:r>
          </w:p>
        </w:tc>
      </w:tr>
      <w:tr w:rsidR="00375BDB" w:rsidRPr="008647AC" w:rsidTr="00E91463">
        <w:trPr>
          <w:trHeight w:val="1011"/>
        </w:trPr>
        <w:tc>
          <w:tcPr>
            <w:tcW w:w="694" w:type="dxa"/>
            <w:vMerge/>
          </w:tcPr>
          <w:p w:rsidR="00375BDB" w:rsidRDefault="00375BDB" w:rsidP="0038774E">
            <w:pPr>
              <w:jc w:val="center"/>
              <w:rPr>
                <w:rFonts w:ascii="Arial" w:hAnsi="Arial" w:cs="Arial"/>
                <w:sz w:val="20"/>
                <w:szCs w:val="20"/>
              </w:rPr>
            </w:pPr>
          </w:p>
        </w:tc>
        <w:tc>
          <w:tcPr>
            <w:tcW w:w="1410" w:type="dxa"/>
            <w:vMerge/>
          </w:tcPr>
          <w:p w:rsidR="00375BDB" w:rsidRDefault="00375BDB" w:rsidP="00D35CAD">
            <w:pPr>
              <w:rPr>
                <w:rFonts w:ascii="Arial" w:hAnsi="Arial" w:cs="Arial"/>
                <w:b/>
                <w:sz w:val="20"/>
                <w:szCs w:val="20"/>
              </w:rPr>
            </w:pPr>
          </w:p>
        </w:tc>
        <w:tc>
          <w:tcPr>
            <w:tcW w:w="1559" w:type="dxa"/>
          </w:tcPr>
          <w:p w:rsidR="00375BDB" w:rsidRDefault="0092697D" w:rsidP="0038774E">
            <w:pPr>
              <w:rPr>
                <w:rFonts w:ascii="Arial" w:hAnsi="Arial" w:cs="Arial"/>
                <w:sz w:val="20"/>
                <w:szCs w:val="20"/>
              </w:rPr>
            </w:pPr>
            <w:r>
              <w:rPr>
                <w:rFonts w:ascii="Arial" w:hAnsi="Arial" w:cs="Arial"/>
                <w:sz w:val="20"/>
                <w:szCs w:val="20"/>
              </w:rPr>
              <w:t>c) Članak 15. stavak 3. Odluke</w:t>
            </w:r>
          </w:p>
        </w:tc>
        <w:tc>
          <w:tcPr>
            <w:tcW w:w="5103" w:type="dxa"/>
          </w:tcPr>
          <w:p w:rsidR="00375BDB" w:rsidRDefault="00017C2C" w:rsidP="00017C2C">
            <w:pPr>
              <w:jc w:val="both"/>
              <w:rPr>
                <w:rFonts w:ascii="Arial" w:hAnsi="Arial" w:cs="Arial"/>
                <w:sz w:val="20"/>
                <w:szCs w:val="20"/>
              </w:rPr>
            </w:pPr>
            <w:r>
              <w:rPr>
                <w:rFonts w:ascii="Arial" w:hAnsi="Arial" w:cs="Arial"/>
                <w:sz w:val="20"/>
                <w:szCs w:val="20"/>
              </w:rPr>
              <w:t>U</w:t>
            </w:r>
            <w:r w:rsidRPr="00017C2C">
              <w:rPr>
                <w:rFonts w:ascii="Arial" w:hAnsi="Arial" w:cs="Arial"/>
                <w:sz w:val="20"/>
                <w:szCs w:val="20"/>
              </w:rPr>
              <w:t xml:space="preserve"> članku 15. st</w:t>
            </w:r>
            <w:r>
              <w:rPr>
                <w:rFonts w:ascii="Arial" w:hAnsi="Arial" w:cs="Arial"/>
                <w:sz w:val="20"/>
                <w:szCs w:val="20"/>
              </w:rPr>
              <w:t xml:space="preserve">avak </w:t>
            </w:r>
            <w:r w:rsidRPr="00017C2C">
              <w:rPr>
                <w:rFonts w:ascii="Arial" w:hAnsi="Arial" w:cs="Arial"/>
                <w:sz w:val="20"/>
                <w:szCs w:val="20"/>
              </w:rPr>
              <w:t xml:space="preserve">3. Odluke propisano je otvaranje posebnog računa za financiranje izborne promidžbe. Iz navedenog proizlazi obveza svih pa i stranaka koje ističu svoje kandidacijske liste na otvaranje takvih računa. To u praksi znači da stranka koja ima kandidacijske liste u svim mjesnim odborima mora otvoriti 11 takvih računa!?  Zakon o financiranju političkih aktivnosti i izborne promidžbe („Narodne novine“, br. 24/11. do 47/13) ne propisuje primjenu tog zakona na izbore za mjesne odbore.  Međutim prema tom Zakonu, ni za lokalne izbore za općinska i gradska vijeća nije propisana obveza stranaka na otvaranje </w:t>
            </w:r>
            <w:r w:rsidRPr="00017C2C">
              <w:rPr>
                <w:rFonts w:ascii="Arial" w:hAnsi="Arial" w:cs="Arial"/>
                <w:sz w:val="20"/>
                <w:szCs w:val="20"/>
              </w:rPr>
              <w:lastRenderedPageBreak/>
              <w:t>posebnih računa, već samo za izbor gradonačelnika i kandidacijske liste grupe građana.</w:t>
            </w:r>
            <w:r>
              <w:rPr>
                <w:rFonts w:ascii="Arial" w:hAnsi="Arial" w:cs="Arial"/>
                <w:sz w:val="20"/>
                <w:szCs w:val="20"/>
              </w:rPr>
              <w:t xml:space="preserve"> </w:t>
            </w:r>
            <w:r w:rsidRPr="00017C2C">
              <w:rPr>
                <w:rFonts w:ascii="Arial" w:hAnsi="Arial" w:cs="Arial"/>
                <w:sz w:val="20"/>
                <w:szCs w:val="20"/>
              </w:rPr>
              <w:t>Stoga bi navedenu odredbu valjalo izmijeniti na način da se</w:t>
            </w:r>
            <w:r>
              <w:rPr>
                <w:rFonts w:ascii="Arial" w:hAnsi="Arial" w:cs="Arial"/>
                <w:sz w:val="20"/>
                <w:szCs w:val="20"/>
              </w:rPr>
              <w:t xml:space="preserve"> </w:t>
            </w:r>
            <w:r w:rsidRPr="00017C2C">
              <w:rPr>
                <w:rFonts w:ascii="Arial" w:hAnsi="Arial" w:cs="Arial"/>
                <w:sz w:val="20"/>
                <w:szCs w:val="20"/>
              </w:rPr>
              <w:t>otvaranje posebnih računa</w:t>
            </w:r>
            <w:r>
              <w:rPr>
                <w:rFonts w:ascii="Arial" w:hAnsi="Arial" w:cs="Arial"/>
                <w:sz w:val="20"/>
                <w:szCs w:val="20"/>
              </w:rPr>
              <w:t xml:space="preserve"> </w:t>
            </w:r>
            <w:r w:rsidRPr="00017C2C">
              <w:rPr>
                <w:rFonts w:ascii="Arial" w:hAnsi="Arial" w:cs="Arial"/>
                <w:sz w:val="20"/>
                <w:szCs w:val="20"/>
              </w:rPr>
              <w:t>primjenjuje samo za kandidacijske liste grupe birača (što je i logično jer stranke već imaju otvorene račune iz kojih financiraju svoj politički rad).</w:t>
            </w:r>
            <w:r>
              <w:rPr>
                <w:rFonts w:ascii="Arial" w:hAnsi="Arial" w:cs="Arial"/>
                <w:sz w:val="20"/>
                <w:szCs w:val="20"/>
              </w:rPr>
              <w:t xml:space="preserve"> </w:t>
            </w:r>
            <w:r w:rsidRPr="00017C2C">
              <w:rPr>
                <w:rFonts w:ascii="Arial" w:hAnsi="Arial" w:cs="Arial"/>
                <w:sz w:val="20"/>
                <w:szCs w:val="20"/>
              </w:rPr>
              <w:t>Također, valjalo bi članak nadopuniti odredbama o izvješćivanju izbornog povjerenstva o rokovima, iznosima i izvorima financiranja tih kampanja (kroz propisane obrasce)</w:t>
            </w:r>
          </w:p>
        </w:tc>
        <w:tc>
          <w:tcPr>
            <w:tcW w:w="5103" w:type="dxa"/>
          </w:tcPr>
          <w:p w:rsidR="00017C2C" w:rsidRDefault="005425EE" w:rsidP="0038774E">
            <w:pPr>
              <w:rPr>
                <w:rFonts w:ascii="Arial" w:hAnsi="Arial" w:cs="Arial"/>
                <w:sz w:val="20"/>
                <w:szCs w:val="20"/>
              </w:rPr>
            </w:pPr>
            <w:r>
              <w:rPr>
                <w:rFonts w:ascii="Arial" w:hAnsi="Arial" w:cs="Arial"/>
                <w:sz w:val="20"/>
                <w:szCs w:val="20"/>
              </w:rPr>
              <w:lastRenderedPageBreak/>
              <w:t xml:space="preserve">c) </w:t>
            </w:r>
            <w:r w:rsidR="00E34AD0">
              <w:rPr>
                <w:rFonts w:ascii="Arial" w:hAnsi="Arial" w:cs="Arial"/>
                <w:b/>
                <w:sz w:val="20"/>
                <w:szCs w:val="20"/>
              </w:rPr>
              <w:t>Djelomice se prihvaća</w:t>
            </w:r>
            <w:r w:rsidR="00017C2C">
              <w:rPr>
                <w:rFonts w:ascii="Arial" w:hAnsi="Arial" w:cs="Arial"/>
                <w:sz w:val="20"/>
                <w:szCs w:val="20"/>
              </w:rPr>
              <w:t>.</w:t>
            </w:r>
          </w:p>
          <w:p w:rsidR="00017C2C" w:rsidRDefault="00017C2C" w:rsidP="000A5504">
            <w:pPr>
              <w:jc w:val="both"/>
              <w:rPr>
                <w:rFonts w:ascii="Arial" w:hAnsi="Arial" w:cs="Arial"/>
                <w:sz w:val="20"/>
                <w:szCs w:val="20"/>
              </w:rPr>
            </w:pPr>
            <w:r>
              <w:rPr>
                <w:rFonts w:ascii="Arial" w:hAnsi="Arial" w:cs="Arial"/>
                <w:sz w:val="20"/>
                <w:szCs w:val="20"/>
              </w:rPr>
              <w:t xml:space="preserve">Zakon o lokalnim izborima u članku 20. stavak 3. jasno navodi da: </w:t>
            </w:r>
            <w:r w:rsidR="000A5504">
              <w:rPr>
                <w:rFonts w:ascii="Arial" w:hAnsi="Arial" w:cs="Arial"/>
                <w:sz w:val="20"/>
                <w:szCs w:val="20"/>
              </w:rPr>
              <w:t>„</w:t>
            </w:r>
            <w:r w:rsidRPr="00017C2C">
              <w:rPr>
                <w:rFonts w:ascii="Arial" w:hAnsi="Arial" w:cs="Arial"/>
                <w:sz w:val="20"/>
                <w:szCs w:val="20"/>
              </w:rPr>
              <w:t xml:space="preserve">Uz prijedloge kandidacijskih lista </w:t>
            </w:r>
            <w:r>
              <w:rPr>
                <w:rFonts w:ascii="Arial" w:hAnsi="Arial" w:cs="Arial"/>
                <w:sz w:val="20"/>
                <w:szCs w:val="20"/>
              </w:rPr>
              <w:t>…</w:t>
            </w:r>
            <w:r w:rsidRPr="00017C2C">
              <w:rPr>
                <w:rFonts w:ascii="Arial" w:hAnsi="Arial" w:cs="Arial"/>
                <w:sz w:val="20"/>
                <w:szCs w:val="20"/>
              </w:rPr>
              <w:t xml:space="preserve"> podnositelji su dužni dostaviti podatke o broju posebnog računa za financiranje izborne promidžbe, datumu otvaranja posebnog računa i naziv banke kod koje je račun otvoren</w:t>
            </w:r>
            <w:r>
              <w:rPr>
                <w:rFonts w:ascii="Arial" w:hAnsi="Arial" w:cs="Arial"/>
                <w:sz w:val="20"/>
                <w:szCs w:val="20"/>
              </w:rPr>
              <w:t>.</w:t>
            </w:r>
            <w:r w:rsidR="000A5504">
              <w:rPr>
                <w:rFonts w:ascii="Arial" w:hAnsi="Arial" w:cs="Arial"/>
                <w:sz w:val="20"/>
                <w:szCs w:val="20"/>
              </w:rPr>
              <w:t>“</w:t>
            </w:r>
          </w:p>
          <w:p w:rsidR="00E34AD0" w:rsidRDefault="00E34AD0" w:rsidP="000A5504">
            <w:pPr>
              <w:jc w:val="both"/>
              <w:rPr>
                <w:rFonts w:ascii="Arial" w:hAnsi="Arial" w:cs="Arial"/>
                <w:sz w:val="20"/>
                <w:szCs w:val="20"/>
              </w:rPr>
            </w:pPr>
          </w:p>
          <w:p w:rsidR="00017C2C" w:rsidRDefault="00017C2C" w:rsidP="000A5504">
            <w:pPr>
              <w:jc w:val="both"/>
              <w:rPr>
                <w:rFonts w:ascii="Arial" w:hAnsi="Arial" w:cs="Arial"/>
                <w:sz w:val="20"/>
                <w:szCs w:val="20"/>
              </w:rPr>
            </w:pPr>
            <w:r>
              <w:rPr>
                <w:rFonts w:ascii="Arial" w:hAnsi="Arial" w:cs="Arial"/>
                <w:sz w:val="20"/>
                <w:szCs w:val="20"/>
              </w:rPr>
              <w:t>Nakon održanih izbora, svi sudionici izbora koji su izabrani u vijeće mjesnog odbora ostvaruju pravo na naknadu dijela troškova izborne promidžbe iz gradskog proračuna.</w:t>
            </w:r>
            <w:r w:rsidR="00E34AD0">
              <w:rPr>
                <w:rFonts w:ascii="Arial" w:hAnsi="Arial" w:cs="Arial"/>
                <w:sz w:val="20"/>
                <w:szCs w:val="20"/>
              </w:rPr>
              <w:t xml:space="preserve"> Otvaranje posebnog računa omogućava </w:t>
            </w:r>
            <w:r w:rsidR="00E34AD0">
              <w:rPr>
                <w:rFonts w:ascii="Arial" w:hAnsi="Arial" w:cs="Arial"/>
                <w:sz w:val="20"/>
                <w:szCs w:val="20"/>
              </w:rPr>
              <w:lastRenderedPageBreak/>
              <w:t>transparentnost i lakši nadzor financiranja izborne promidžbe.</w:t>
            </w:r>
          </w:p>
          <w:p w:rsidR="00E34AD0" w:rsidRDefault="00E34AD0" w:rsidP="000A5504">
            <w:pPr>
              <w:jc w:val="both"/>
              <w:rPr>
                <w:rFonts w:ascii="Arial" w:hAnsi="Arial" w:cs="Arial"/>
                <w:sz w:val="20"/>
                <w:szCs w:val="20"/>
              </w:rPr>
            </w:pPr>
          </w:p>
          <w:p w:rsidR="00017C2C" w:rsidRDefault="00E34AD0" w:rsidP="000A5504">
            <w:pPr>
              <w:jc w:val="both"/>
              <w:rPr>
                <w:rFonts w:ascii="Arial" w:hAnsi="Arial" w:cs="Arial"/>
                <w:sz w:val="20"/>
                <w:szCs w:val="20"/>
              </w:rPr>
            </w:pPr>
            <w:r>
              <w:rPr>
                <w:rFonts w:ascii="Arial" w:hAnsi="Arial" w:cs="Arial"/>
                <w:sz w:val="20"/>
                <w:szCs w:val="20"/>
              </w:rPr>
              <w:t xml:space="preserve">Vezano za sve navedeno, upućujemo na članak 14. citiranog Zakona o financiranju političkih aktivnosti, </w:t>
            </w:r>
            <w:r w:rsidR="00B375F8">
              <w:rPr>
                <w:rFonts w:ascii="Arial" w:hAnsi="Arial" w:cs="Arial"/>
                <w:sz w:val="20"/>
                <w:szCs w:val="20"/>
              </w:rPr>
              <w:t>jer upravo taj zakon</w:t>
            </w:r>
            <w:r>
              <w:rPr>
                <w:rFonts w:ascii="Arial" w:hAnsi="Arial" w:cs="Arial"/>
                <w:sz w:val="20"/>
                <w:szCs w:val="20"/>
              </w:rPr>
              <w:t xml:space="preserve"> jasno navodi obvezu otvaranja posebnog računa za financiranje kampanje i druge obveze političkih stranaka, tako da je </w:t>
            </w:r>
            <w:r w:rsidRPr="00E34AD0">
              <w:rPr>
                <w:rFonts w:ascii="Arial" w:hAnsi="Arial" w:cs="Arial"/>
                <w:sz w:val="20"/>
                <w:szCs w:val="20"/>
              </w:rPr>
              <w:t>po zakonu neosporno da su političke stranke dužne otvoriti poseban račun</w:t>
            </w:r>
            <w:r>
              <w:rPr>
                <w:rFonts w:ascii="Arial" w:hAnsi="Arial" w:cs="Arial"/>
                <w:sz w:val="20"/>
                <w:szCs w:val="20"/>
              </w:rPr>
              <w:t xml:space="preserve"> za financiranje izborne promidžbe.</w:t>
            </w:r>
          </w:p>
          <w:p w:rsidR="00E34AD0" w:rsidRDefault="00E34AD0" w:rsidP="000A5504">
            <w:pPr>
              <w:jc w:val="both"/>
              <w:rPr>
                <w:rFonts w:ascii="Arial" w:hAnsi="Arial" w:cs="Arial"/>
                <w:sz w:val="20"/>
                <w:szCs w:val="20"/>
              </w:rPr>
            </w:pPr>
          </w:p>
          <w:p w:rsidR="00E34AD0" w:rsidRDefault="00E34AD0" w:rsidP="000A5504">
            <w:pPr>
              <w:jc w:val="both"/>
              <w:rPr>
                <w:rFonts w:ascii="Arial" w:hAnsi="Arial" w:cs="Arial"/>
                <w:sz w:val="20"/>
                <w:szCs w:val="20"/>
              </w:rPr>
            </w:pPr>
            <w:r>
              <w:rPr>
                <w:rFonts w:ascii="Arial" w:hAnsi="Arial" w:cs="Arial"/>
                <w:sz w:val="20"/>
                <w:szCs w:val="20"/>
              </w:rPr>
              <w:t xml:space="preserve">Vezano za broj računa, mišljenja smo da </w:t>
            </w:r>
            <w:r w:rsidR="000A5504">
              <w:rPr>
                <w:rFonts w:ascii="Arial" w:hAnsi="Arial" w:cs="Arial"/>
                <w:sz w:val="20"/>
                <w:szCs w:val="20"/>
              </w:rPr>
              <w:t>je zbog razloga svrsishodnosti i ekonomičnosti za svakog sudionika dovoljno otvoriti jedan račun te da je zbog svega navedenog potrebno u Odluci podrobnije propisati pravila financiranja izborne promidžbe.</w:t>
            </w:r>
          </w:p>
        </w:tc>
      </w:tr>
      <w:tr w:rsidR="00375BDB" w:rsidRPr="008647AC" w:rsidTr="00E91463">
        <w:trPr>
          <w:trHeight w:val="1011"/>
        </w:trPr>
        <w:tc>
          <w:tcPr>
            <w:tcW w:w="694" w:type="dxa"/>
            <w:vMerge/>
          </w:tcPr>
          <w:p w:rsidR="00375BDB" w:rsidRDefault="00375BDB" w:rsidP="0038774E">
            <w:pPr>
              <w:jc w:val="center"/>
              <w:rPr>
                <w:rFonts w:ascii="Arial" w:hAnsi="Arial" w:cs="Arial"/>
                <w:sz w:val="20"/>
                <w:szCs w:val="20"/>
              </w:rPr>
            </w:pPr>
          </w:p>
        </w:tc>
        <w:tc>
          <w:tcPr>
            <w:tcW w:w="1410" w:type="dxa"/>
            <w:vMerge/>
          </w:tcPr>
          <w:p w:rsidR="00375BDB" w:rsidRDefault="00375BDB" w:rsidP="00D35CAD">
            <w:pPr>
              <w:rPr>
                <w:rFonts w:ascii="Arial" w:hAnsi="Arial" w:cs="Arial"/>
                <w:b/>
                <w:sz w:val="20"/>
                <w:szCs w:val="20"/>
              </w:rPr>
            </w:pPr>
          </w:p>
        </w:tc>
        <w:tc>
          <w:tcPr>
            <w:tcW w:w="1559" w:type="dxa"/>
          </w:tcPr>
          <w:p w:rsidR="00375BDB" w:rsidRDefault="000A5504" w:rsidP="0038774E">
            <w:pPr>
              <w:rPr>
                <w:rFonts w:ascii="Arial" w:hAnsi="Arial" w:cs="Arial"/>
                <w:sz w:val="20"/>
                <w:szCs w:val="20"/>
              </w:rPr>
            </w:pPr>
            <w:r>
              <w:rPr>
                <w:rFonts w:ascii="Arial" w:hAnsi="Arial" w:cs="Arial"/>
                <w:sz w:val="20"/>
                <w:szCs w:val="20"/>
              </w:rPr>
              <w:t>d) Članak 31.</w:t>
            </w:r>
          </w:p>
        </w:tc>
        <w:tc>
          <w:tcPr>
            <w:tcW w:w="5103" w:type="dxa"/>
          </w:tcPr>
          <w:p w:rsidR="00375BDB" w:rsidRDefault="000A5504" w:rsidP="000A5504">
            <w:pPr>
              <w:jc w:val="both"/>
              <w:rPr>
                <w:rFonts w:ascii="Arial" w:hAnsi="Arial" w:cs="Arial"/>
                <w:sz w:val="20"/>
                <w:szCs w:val="20"/>
              </w:rPr>
            </w:pPr>
            <w:r>
              <w:rPr>
                <w:rFonts w:ascii="Arial" w:hAnsi="Arial" w:cs="Arial"/>
                <w:sz w:val="20"/>
                <w:szCs w:val="20"/>
              </w:rPr>
              <w:t>U</w:t>
            </w:r>
            <w:r w:rsidRPr="000A5504">
              <w:rPr>
                <w:rFonts w:ascii="Arial" w:hAnsi="Arial" w:cs="Arial"/>
                <w:sz w:val="20"/>
                <w:szCs w:val="20"/>
              </w:rPr>
              <w:t xml:space="preserve"> članku 31. Odluke propisan je sastav izbornog povjerenstva koji je istovjetan Zakonu o lokalnim izborima, međutim on je preopširan i djelomično neprimjenjiv kada se izbori održavaju za 11 mjesnih odbora istodobno i određivanju članova proširenog sastava članova iz većinske političke stranke i predstavnika oporbenih političkih stranaka.</w:t>
            </w:r>
            <w:r>
              <w:rPr>
                <w:rFonts w:ascii="Arial" w:hAnsi="Arial" w:cs="Arial"/>
                <w:sz w:val="20"/>
                <w:szCs w:val="20"/>
              </w:rPr>
              <w:t xml:space="preserve"> </w:t>
            </w:r>
            <w:r w:rsidRPr="000A5504">
              <w:rPr>
                <w:rFonts w:ascii="Arial" w:hAnsi="Arial" w:cs="Arial"/>
                <w:sz w:val="20"/>
                <w:szCs w:val="20"/>
              </w:rPr>
              <w:t>U stalnom i proširenom sastavu izbornog povjerenstva ima ukupno 12 članova (6+6). S obzirom na lokalni karakter izbora za vijeća mjesnih odbora, predlažemo da se izborno povjerenstvo sastoji samo od stalnog sastava uz eventualno 2 dodatna politička člana (jednog iz vladajuće većine u Gradskom vijeću i jednog iz oporbe). To bi također imalo i aspekt ušteda u provođenju cijelih izbora.</w:t>
            </w:r>
          </w:p>
        </w:tc>
        <w:tc>
          <w:tcPr>
            <w:tcW w:w="5103" w:type="dxa"/>
          </w:tcPr>
          <w:p w:rsidR="000A5504" w:rsidRPr="000A5504" w:rsidRDefault="000A5504" w:rsidP="000A5504">
            <w:pPr>
              <w:rPr>
                <w:rFonts w:ascii="Arial" w:hAnsi="Arial" w:cs="Arial"/>
                <w:sz w:val="20"/>
                <w:szCs w:val="20"/>
              </w:rPr>
            </w:pPr>
            <w:r>
              <w:rPr>
                <w:rFonts w:ascii="Arial" w:hAnsi="Arial" w:cs="Arial"/>
                <w:sz w:val="20"/>
                <w:szCs w:val="20"/>
              </w:rPr>
              <w:t>d</w:t>
            </w:r>
            <w:r w:rsidRPr="000A5504">
              <w:rPr>
                <w:rFonts w:ascii="Arial" w:hAnsi="Arial" w:cs="Arial"/>
                <w:sz w:val="20"/>
                <w:szCs w:val="20"/>
              </w:rPr>
              <w:t xml:space="preserve">) </w:t>
            </w:r>
            <w:r>
              <w:rPr>
                <w:rFonts w:ascii="Arial" w:hAnsi="Arial" w:cs="Arial"/>
                <w:b/>
                <w:sz w:val="20"/>
                <w:szCs w:val="20"/>
              </w:rPr>
              <w:t>N</w:t>
            </w:r>
            <w:r w:rsidRPr="000A5504">
              <w:rPr>
                <w:rFonts w:ascii="Arial" w:hAnsi="Arial" w:cs="Arial"/>
                <w:b/>
                <w:sz w:val="20"/>
                <w:szCs w:val="20"/>
              </w:rPr>
              <w:t>e prihvaća</w:t>
            </w:r>
            <w:r>
              <w:rPr>
                <w:rFonts w:ascii="Arial" w:hAnsi="Arial" w:cs="Arial"/>
                <w:b/>
                <w:sz w:val="20"/>
                <w:szCs w:val="20"/>
              </w:rPr>
              <w:t xml:space="preserve"> se</w:t>
            </w:r>
            <w:r w:rsidRPr="000A5504">
              <w:rPr>
                <w:rFonts w:ascii="Arial" w:hAnsi="Arial" w:cs="Arial"/>
                <w:sz w:val="20"/>
                <w:szCs w:val="20"/>
              </w:rPr>
              <w:t>.</w:t>
            </w:r>
          </w:p>
          <w:p w:rsidR="000A5504" w:rsidRPr="000A5504" w:rsidRDefault="000A5504" w:rsidP="000A5504">
            <w:pPr>
              <w:rPr>
                <w:rFonts w:ascii="Arial" w:hAnsi="Arial" w:cs="Arial"/>
                <w:sz w:val="20"/>
                <w:szCs w:val="20"/>
              </w:rPr>
            </w:pPr>
            <w:r w:rsidRPr="000A5504">
              <w:rPr>
                <w:rFonts w:ascii="Arial" w:hAnsi="Arial" w:cs="Arial"/>
                <w:sz w:val="20"/>
                <w:szCs w:val="20"/>
              </w:rPr>
              <w:t xml:space="preserve">Zakon o lokalnim izborima u članku </w:t>
            </w:r>
            <w:r>
              <w:rPr>
                <w:rFonts w:ascii="Arial" w:hAnsi="Arial" w:cs="Arial"/>
                <w:sz w:val="20"/>
                <w:szCs w:val="20"/>
              </w:rPr>
              <w:t>41</w:t>
            </w:r>
            <w:r w:rsidRPr="000A5504">
              <w:rPr>
                <w:rFonts w:ascii="Arial" w:hAnsi="Arial" w:cs="Arial"/>
                <w:sz w:val="20"/>
                <w:szCs w:val="20"/>
              </w:rPr>
              <w:t xml:space="preserve">. </w:t>
            </w:r>
            <w:r>
              <w:rPr>
                <w:rFonts w:ascii="Arial" w:hAnsi="Arial" w:cs="Arial"/>
                <w:sz w:val="20"/>
                <w:szCs w:val="20"/>
              </w:rPr>
              <w:t xml:space="preserve">stavak 4. </w:t>
            </w:r>
            <w:r w:rsidRPr="000A5504">
              <w:rPr>
                <w:rFonts w:ascii="Arial" w:hAnsi="Arial" w:cs="Arial"/>
                <w:sz w:val="20"/>
                <w:szCs w:val="20"/>
              </w:rPr>
              <w:t xml:space="preserve">jasno </w:t>
            </w:r>
            <w:r>
              <w:rPr>
                <w:rFonts w:ascii="Arial" w:hAnsi="Arial" w:cs="Arial"/>
                <w:sz w:val="20"/>
                <w:szCs w:val="20"/>
              </w:rPr>
              <w:t xml:space="preserve">određuje </w:t>
            </w:r>
            <w:r>
              <w:rPr>
                <w:rFonts w:ascii="Arial" w:hAnsi="Arial" w:cs="Arial"/>
                <w:sz w:val="20"/>
                <w:szCs w:val="20"/>
              </w:rPr>
              <w:t>proširen</w:t>
            </w:r>
            <w:r w:rsidR="00957A94">
              <w:rPr>
                <w:rFonts w:ascii="Arial" w:hAnsi="Arial" w:cs="Arial"/>
                <w:sz w:val="20"/>
                <w:szCs w:val="20"/>
              </w:rPr>
              <w:t>i</w:t>
            </w:r>
            <w:r>
              <w:rPr>
                <w:rFonts w:ascii="Arial" w:hAnsi="Arial" w:cs="Arial"/>
                <w:sz w:val="20"/>
                <w:szCs w:val="20"/>
              </w:rPr>
              <w:t xml:space="preserve"> </w:t>
            </w:r>
            <w:r>
              <w:rPr>
                <w:rFonts w:ascii="Arial" w:hAnsi="Arial" w:cs="Arial"/>
                <w:sz w:val="20"/>
                <w:szCs w:val="20"/>
              </w:rPr>
              <w:t>sastav povjerenstva</w:t>
            </w:r>
            <w:r w:rsidRPr="000A5504">
              <w:rPr>
                <w:rFonts w:ascii="Arial" w:hAnsi="Arial" w:cs="Arial"/>
                <w:sz w:val="20"/>
                <w:szCs w:val="20"/>
              </w:rPr>
              <w:t xml:space="preserve">: </w:t>
            </w:r>
            <w:r>
              <w:rPr>
                <w:rFonts w:ascii="Arial" w:hAnsi="Arial" w:cs="Arial"/>
                <w:sz w:val="20"/>
                <w:szCs w:val="20"/>
              </w:rPr>
              <w:t>„</w:t>
            </w:r>
            <w:r w:rsidRPr="000A5504">
              <w:rPr>
                <w:rFonts w:ascii="Arial" w:hAnsi="Arial" w:cs="Arial"/>
                <w:sz w:val="20"/>
                <w:szCs w:val="20"/>
              </w:rPr>
              <w:t>Prošireni sastav izbornog povjerenstva čine 3 predstavnika većinske političke stranke, odnosno političkih stranaka i 3 dogovorno predložena predstavnika oporbenih političkih stranaka</w:t>
            </w:r>
            <w:r>
              <w:rPr>
                <w:rFonts w:ascii="Arial" w:hAnsi="Arial" w:cs="Arial"/>
                <w:sz w:val="20"/>
                <w:szCs w:val="20"/>
              </w:rPr>
              <w:t>..</w:t>
            </w:r>
            <w:r w:rsidRPr="000A5504">
              <w:rPr>
                <w:rFonts w:ascii="Arial" w:hAnsi="Arial" w:cs="Arial"/>
                <w:sz w:val="20"/>
                <w:szCs w:val="20"/>
              </w:rPr>
              <w:t>.“</w:t>
            </w:r>
          </w:p>
          <w:p w:rsidR="000A5504" w:rsidRDefault="000A5504" w:rsidP="0038774E">
            <w:pPr>
              <w:rPr>
                <w:rFonts w:ascii="Arial" w:hAnsi="Arial" w:cs="Arial"/>
                <w:sz w:val="20"/>
                <w:szCs w:val="20"/>
              </w:rPr>
            </w:pPr>
          </w:p>
          <w:p w:rsidR="00375BDB" w:rsidRDefault="000A5504" w:rsidP="000A5504">
            <w:pPr>
              <w:rPr>
                <w:rFonts w:ascii="Arial" w:hAnsi="Arial" w:cs="Arial"/>
                <w:sz w:val="20"/>
                <w:szCs w:val="20"/>
              </w:rPr>
            </w:pPr>
            <w:r w:rsidRPr="000A5504">
              <w:rPr>
                <w:rFonts w:ascii="Arial" w:hAnsi="Arial" w:cs="Arial"/>
                <w:sz w:val="20"/>
                <w:szCs w:val="20"/>
              </w:rPr>
              <w:t>Odnos ukupnog broja članova proširenog sastava unutar grupacije stranaka određuje se sukladno omjeru u kojem pojedina stranka sudjeluje</w:t>
            </w:r>
            <w:r>
              <w:rPr>
                <w:rFonts w:ascii="Arial" w:hAnsi="Arial" w:cs="Arial"/>
                <w:sz w:val="20"/>
                <w:szCs w:val="20"/>
              </w:rPr>
              <w:t xml:space="preserve"> u postojećem sazivu vijeća mjesnih odbora.</w:t>
            </w:r>
          </w:p>
          <w:p w:rsidR="000A5504" w:rsidRDefault="000A5504" w:rsidP="000A5504">
            <w:pPr>
              <w:rPr>
                <w:rFonts w:ascii="Arial" w:hAnsi="Arial" w:cs="Arial"/>
                <w:sz w:val="20"/>
                <w:szCs w:val="20"/>
              </w:rPr>
            </w:pPr>
          </w:p>
          <w:p w:rsidR="000A5504" w:rsidRDefault="000A5504" w:rsidP="000A5504">
            <w:pPr>
              <w:rPr>
                <w:rFonts w:ascii="Arial" w:hAnsi="Arial" w:cs="Arial"/>
                <w:sz w:val="20"/>
                <w:szCs w:val="20"/>
              </w:rPr>
            </w:pPr>
            <w:r>
              <w:rPr>
                <w:rFonts w:ascii="Arial" w:hAnsi="Arial" w:cs="Arial"/>
                <w:sz w:val="20"/>
                <w:szCs w:val="20"/>
              </w:rPr>
              <w:t>Mišljenja smo da su navedene zakonske odredbe kogentne (stroge) naravi i da ih valja primijeniti na način propisan zakonom.</w:t>
            </w:r>
          </w:p>
        </w:tc>
      </w:tr>
    </w:tbl>
    <w:p w:rsidR="00D25A27" w:rsidRDefault="00D25A27" w:rsidP="001E3EE5">
      <w:pPr>
        <w:jc w:val="both"/>
        <w:rPr>
          <w:rFonts w:ascii="Arial" w:hAnsi="Arial" w:cs="Arial"/>
          <w:color w:val="000000"/>
          <w:sz w:val="22"/>
          <w:szCs w:val="22"/>
        </w:rPr>
      </w:pPr>
    </w:p>
    <w:p w:rsidR="00D25A27" w:rsidRPr="00E47F86" w:rsidRDefault="00E91463" w:rsidP="00E91463">
      <w:pPr>
        <w:jc w:val="both"/>
        <w:rPr>
          <w:rFonts w:ascii="Arial" w:hAnsi="Arial" w:cs="Arial"/>
          <w:color w:val="000000"/>
          <w:sz w:val="22"/>
          <w:szCs w:val="22"/>
        </w:rPr>
      </w:pPr>
      <w:r>
        <w:rPr>
          <w:rFonts w:ascii="Arial" w:hAnsi="Arial" w:cs="Arial"/>
          <w:color w:val="000000"/>
          <w:sz w:val="22"/>
          <w:szCs w:val="22"/>
        </w:rPr>
        <w:t>Buzet, 12. listopada 2015.</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8647AC">
        <w:rPr>
          <w:rFonts w:ascii="Arial" w:hAnsi="Arial" w:cs="Arial"/>
          <w:color w:val="000000"/>
          <w:sz w:val="22"/>
          <w:szCs w:val="22"/>
        </w:rPr>
        <w:t>GRAD BUZET</w:t>
      </w:r>
    </w:p>
    <w:p w:rsidR="00F405B3" w:rsidRPr="00E47F86" w:rsidRDefault="008647AC" w:rsidP="00E91463">
      <w:pPr>
        <w:ind w:left="7080" w:firstLine="708"/>
        <w:jc w:val="both"/>
        <w:rPr>
          <w:rFonts w:ascii="Arial" w:hAnsi="Arial" w:cs="Arial"/>
          <w:color w:val="000000"/>
          <w:sz w:val="22"/>
          <w:szCs w:val="22"/>
        </w:rPr>
      </w:pPr>
      <w:r>
        <w:rPr>
          <w:rFonts w:ascii="Arial" w:hAnsi="Arial" w:cs="Arial"/>
          <w:color w:val="000000"/>
          <w:sz w:val="22"/>
          <w:szCs w:val="22"/>
        </w:rPr>
        <w:t>KOORDINATOR ZA SAVJETOVANJE SA</w:t>
      </w:r>
      <w:r w:rsidR="00E91463">
        <w:rPr>
          <w:rFonts w:ascii="Arial" w:hAnsi="Arial" w:cs="Arial"/>
          <w:color w:val="000000"/>
          <w:sz w:val="22"/>
          <w:szCs w:val="22"/>
        </w:rPr>
        <w:tab/>
      </w:r>
      <w:r w:rsidR="00E91463">
        <w:rPr>
          <w:rFonts w:ascii="Arial" w:hAnsi="Arial" w:cs="Arial"/>
          <w:color w:val="000000"/>
          <w:sz w:val="22"/>
          <w:szCs w:val="22"/>
        </w:rPr>
        <w:tab/>
      </w:r>
      <w:r w:rsidR="00E91463">
        <w:rPr>
          <w:rFonts w:ascii="Arial" w:hAnsi="Arial" w:cs="Arial"/>
          <w:color w:val="000000"/>
          <w:sz w:val="22"/>
          <w:szCs w:val="22"/>
        </w:rPr>
        <w:tab/>
      </w:r>
      <w:r w:rsidR="00E91463">
        <w:rPr>
          <w:rFonts w:ascii="Arial" w:hAnsi="Arial" w:cs="Arial"/>
          <w:color w:val="000000"/>
          <w:sz w:val="22"/>
          <w:szCs w:val="22"/>
        </w:rPr>
        <w:tab/>
        <w:t xml:space="preserve">       </w:t>
      </w:r>
      <w:r>
        <w:rPr>
          <w:rFonts w:ascii="Arial" w:hAnsi="Arial" w:cs="Arial"/>
          <w:color w:val="000000"/>
          <w:sz w:val="22"/>
          <w:szCs w:val="22"/>
        </w:rPr>
        <w:t>ZAINTERESIRANOM JAVNOŠĆU</w:t>
      </w:r>
    </w:p>
    <w:p w:rsidR="00E91463" w:rsidRDefault="00E91463" w:rsidP="00E91463">
      <w:pPr>
        <w:ind w:left="8931"/>
        <w:jc w:val="both"/>
        <w:rPr>
          <w:rFonts w:ascii="Arial" w:hAnsi="Arial" w:cs="Arial"/>
          <w:color w:val="000000"/>
          <w:sz w:val="22"/>
          <w:szCs w:val="22"/>
        </w:rPr>
      </w:pPr>
      <w:r>
        <w:rPr>
          <w:rFonts w:ascii="Arial" w:hAnsi="Arial" w:cs="Arial"/>
          <w:color w:val="000000"/>
          <w:sz w:val="22"/>
          <w:szCs w:val="22"/>
        </w:rPr>
        <w:t xml:space="preserve">   </w:t>
      </w:r>
    </w:p>
    <w:p w:rsidR="004344DF" w:rsidRPr="00E47F86" w:rsidRDefault="00E91463" w:rsidP="00E91463">
      <w:pPr>
        <w:ind w:left="8931"/>
        <w:jc w:val="both"/>
        <w:rPr>
          <w:sz w:val="22"/>
          <w:szCs w:val="22"/>
        </w:rPr>
      </w:pPr>
      <w:r>
        <w:rPr>
          <w:rFonts w:ascii="Arial" w:hAnsi="Arial" w:cs="Arial"/>
          <w:color w:val="000000"/>
          <w:sz w:val="22"/>
          <w:szCs w:val="22"/>
        </w:rPr>
        <w:t xml:space="preserve">   </w:t>
      </w:r>
      <w:r w:rsidR="004344DF" w:rsidRPr="00E47F86">
        <w:rPr>
          <w:rFonts w:ascii="Arial" w:hAnsi="Arial" w:cs="Arial"/>
          <w:color w:val="000000"/>
          <w:sz w:val="22"/>
          <w:szCs w:val="22"/>
        </w:rPr>
        <w:t>Nenad Šćulac</w:t>
      </w:r>
    </w:p>
    <w:sectPr w:rsidR="004344DF" w:rsidRPr="00E47F86" w:rsidSect="005425EE">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Marlett">
    <w:panose1 w:val="00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215A8"/>
    <w:multiLevelType w:val="hybridMultilevel"/>
    <w:tmpl w:val="1E3AEC2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04D16625"/>
    <w:multiLevelType w:val="hybridMultilevel"/>
    <w:tmpl w:val="542EB9C6"/>
    <w:lvl w:ilvl="0" w:tplc="F4920478">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A518B6"/>
    <w:multiLevelType w:val="hybridMultilevel"/>
    <w:tmpl w:val="B120B7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434FDE"/>
    <w:multiLevelType w:val="hybridMultilevel"/>
    <w:tmpl w:val="7C8EB10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1888412E"/>
    <w:multiLevelType w:val="hybridMultilevel"/>
    <w:tmpl w:val="7E6C952E"/>
    <w:lvl w:ilvl="0" w:tplc="26447A8A">
      <w:start w:val="1"/>
      <w:numFmt w:val="decimal"/>
      <w:lvlText w:val="%1."/>
      <w:lvlJc w:val="left"/>
      <w:pPr>
        <w:tabs>
          <w:tab w:val="num" w:pos="1683"/>
        </w:tabs>
        <w:ind w:left="1683" w:hanging="975"/>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5" w15:restartNumberingAfterBreak="0">
    <w:nsid w:val="24D77B18"/>
    <w:multiLevelType w:val="hybridMultilevel"/>
    <w:tmpl w:val="8B1E9BF0"/>
    <w:lvl w:ilvl="0" w:tplc="26447A8A">
      <w:start w:val="1"/>
      <w:numFmt w:val="decimal"/>
      <w:lvlText w:val="%1."/>
      <w:lvlJc w:val="left"/>
      <w:pPr>
        <w:tabs>
          <w:tab w:val="num" w:pos="1683"/>
        </w:tabs>
        <w:ind w:left="1683" w:hanging="975"/>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6" w15:restartNumberingAfterBreak="0">
    <w:nsid w:val="2D6B18B0"/>
    <w:multiLevelType w:val="hybridMultilevel"/>
    <w:tmpl w:val="4D3A104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373E0CF5"/>
    <w:multiLevelType w:val="hybridMultilevel"/>
    <w:tmpl w:val="82C2F476"/>
    <w:lvl w:ilvl="0" w:tplc="F4920478">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307D25"/>
    <w:multiLevelType w:val="hybridMultilevel"/>
    <w:tmpl w:val="7040B85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D8534D6"/>
    <w:multiLevelType w:val="hybridMultilevel"/>
    <w:tmpl w:val="8DC2CA1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50E24650"/>
    <w:multiLevelType w:val="hybridMultilevel"/>
    <w:tmpl w:val="4566B9D0"/>
    <w:lvl w:ilvl="0" w:tplc="F28207A8">
      <w:start w:val="1"/>
      <w:numFmt w:val="decimal"/>
      <w:lvlText w:val="%1."/>
      <w:lvlJc w:val="left"/>
      <w:pPr>
        <w:tabs>
          <w:tab w:val="num" w:pos="1440"/>
        </w:tabs>
        <w:ind w:left="144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538154E3"/>
    <w:multiLevelType w:val="hybridMultilevel"/>
    <w:tmpl w:val="9070A89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585B62DB"/>
    <w:multiLevelType w:val="hybridMultilevel"/>
    <w:tmpl w:val="D51418F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5DEF6FFA"/>
    <w:multiLevelType w:val="hybridMultilevel"/>
    <w:tmpl w:val="3766B3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F755FED"/>
    <w:multiLevelType w:val="hybridMultilevel"/>
    <w:tmpl w:val="7E6C952E"/>
    <w:lvl w:ilvl="0" w:tplc="26447A8A">
      <w:start w:val="1"/>
      <w:numFmt w:val="decimal"/>
      <w:lvlText w:val="%1."/>
      <w:lvlJc w:val="left"/>
      <w:pPr>
        <w:tabs>
          <w:tab w:val="num" w:pos="1683"/>
        </w:tabs>
        <w:ind w:left="1683" w:hanging="975"/>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5" w15:restartNumberingAfterBreak="0">
    <w:nsid w:val="6BE929E5"/>
    <w:multiLevelType w:val="hybridMultilevel"/>
    <w:tmpl w:val="64545C2C"/>
    <w:lvl w:ilvl="0" w:tplc="A7863CC2">
      <w:start w:val="2"/>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7F15DA"/>
    <w:multiLevelType w:val="hybridMultilevel"/>
    <w:tmpl w:val="18FCF388"/>
    <w:lvl w:ilvl="0" w:tplc="F28207A8">
      <w:start w:val="1"/>
      <w:numFmt w:val="decimal"/>
      <w:lvlText w:val="%1."/>
      <w:lvlJc w:val="left"/>
      <w:pPr>
        <w:tabs>
          <w:tab w:val="num" w:pos="2148"/>
        </w:tabs>
        <w:ind w:left="2148" w:hanging="360"/>
      </w:pPr>
      <w:rPr>
        <w:rFonts w:hint="default"/>
      </w:rPr>
    </w:lvl>
    <w:lvl w:ilvl="1" w:tplc="041A0019">
      <w:start w:val="1"/>
      <w:numFmt w:val="lowerLetter"/>
      <w:lvlText w:val="%2."/>
      <w:lvlJc w:val="left"/>
      <w:pPr>
        <w:tabs>
          <w:tab w:val="num" w:pos="2148"/>
        </w:tabs>
        <w:ind w:left="2148" w:hanging="360"/>
      </w:pPr>
    </w:lvl>
    <w:lvl w:ilvl="2" w:tplc="041A001B" w:tentative="1">
      <w:start w:val="1"/>
      <w:numFmt w:val="lowerRoman"/>
      <w:lvlText w:val="%3."/>
      <w:lvlJc w:val="right"/>
      <w:pPr>
        <w:tabs>
          <w:tab w:val="num" w:pos="2868"/>
        </w:tabs>
        <w:ind w:left="2868" w:hanging="180"/>
      </w:pPr>
    </w:lvl>
    <w:lvl w:ilvl="3" w:tplc="041A000F" w:tentative="1">
      <w:start w:val="1"/>
      <w:numFmt w:val="decimal"/>
      <w:lvlText w:val="%4."/>
      <w:lvlJc w:val="left"/>
      <w:pPr>
        <w:tabs>
          <w:tab w:val="num" w:pos="3588"/>
        </w:tabs>
        <w:ind w:left="3588" w:hanging="360"/>
      </w:pPr>
    </w:lvl>
    <w:lvl w:ilvl="4" w:tplc="041A0019" w:tentative="1">
      <w:start w:val="1"/>
      <w:numFmt w:val="lowerLetter"/>
      <w:lvlText w:val="%5."/>
      <w:lvlJc w:val="left"/>
      <w:pPr>
        <w:tabs>
          <w:tab w:val="num" w:pos="4308"/>
        </w:tabs>
        <w:ind w:left="4308" w:hanging="360"/>
      </w:pPr>
    </w:lvl>
    <w:lvl w:ilvl="5" w:tplc="041A001B" w:tentative="1">
      <w:start w:val="1"/>
      <w:numFmt w:val="lowerRoman"/>
      <w:lvlText w:val="%6."/>
      <w:lvlJc w:val="right"/>
      <w:pPr>
        <w:tabs>
          <w:tab w:val="num" w:pos="5028"/>
        </w:tabs>
        <w:ind w:left="5028" w:hanging="180"/>
      </w:pPr>
    </w:lvl>
    <w:lvl w:ilvl="6" w:tplc="041A000F" w:tentative="1">
      <w:start w:val="1"/>
      <w:numFmt w:val="decimal"/>
      <w:lvlText w:val="%7."/>
      <w:lvlJc w:val="left"/>
      <w:pPr>
        <w:tabs>
          <w:tab w:val="num" w:pos="5748"/>
        </w:tabs>
        <w:ind w:left="5748" w:hanging="360"/>
      </w:pPr>
    </w:lvl>
    <w:lvl w:ilvl="7" w:tplc="041A0019" w:tentative="1">
      <w:start w:val="1"/>
      <w:numFmt w:val="lowerLetter"/>
      <w:lvlText w:val="%8."/>
      <w:lvlJc w:val="left"/>
      <w:pPr>
        <w:tabs>
          <w:tab w:val="num" w:pos="6468"/>
        </w:tabs>
        <w:ind w:left="6468" w:hanging="360"/>
      </w:pPr>
    </w:lvl>
    <w:lvl w:ilvl="8" w:tplc="041A001B" w:tentative="1">
      <w:start w:val="1"/>
      <w:numFmt w:val="lowerRoman"/>
      <w:lvlText w:val="%9."/>
      <w:lvlJc w:val="right"/>
      <w:pPr>
        <w:tabs>
          <w:tab w:val="num" w:pos="7188"/>
        </w:tabs>
        <w:ind w:left="7188" w:hanging="180"/>
      </w:pPr>
    </w:lvl>
  </w:abstractNum>
  <w:abstractNum w:abstractNumId="17" w15:restartNumberingAfterBreak="0">
    <w:nsid w:val="721B3700"/>
    <w:multiLevelType w:val="hybridMultilevel"/>
    <w:tmpl w:val="1152F3A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78760982"/>
    <w:multiLevelType w:val="hybridMultilevel"/>
    <w:tmpl w:val="FEA2543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793A081B"/>
    <w:multiLevelType w:val="hybridMultilevel"/>
    <w:tmpl w:val="2996EC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B2F12F5"/>
    <w:multiLevelType w:val="hybridMultilevel"/>
    <w:tmpl w:val="7E6C952E"/>
    <w:lvl w:ilvl="0" w:tplc="26447A8A">
      <w:start w:val="1"/>
      <w:numFmt w:val="decimal"/>
      <w:lvlText w:val="%1."/>
      <w:lvlJc w:val="left"/>
      <w:pPr>
        <w:tabs>
          <w:tab w:val="num" w:pos="1683"/>
        </w:tabs>
        <w:ind w:left="1683" w:hanging="975"/>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21" w15:restartNumberingAfterBreak="0">
    <w:nsid w:val="7B6237EF"/>
    <w:multiLevelType w:val="hybridMultilevel"/>
    <w:tmpl w:val="302A0074"/>
    <w:lvl w:ilvl="0" w:tplc="9FE4959C">
      <w:start w:val="1"/>
      <w:numFmt w:val="decimal"/>
      <w:lvlText w:val="%1."/>
      <w:lvlJc w:val="left"/>
      <w:pPr>
        <w:ind w:left="890" w:hanging="465"/>
      </w:pPr>
      <w:rPr>
        <w:rFonts w:hint="default"/>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num w:numId="1">
    <w:abstractNumId w:val="15"/>
  </w:num>
  <w:num w:numId="2">
    <w:abstractNumId w:val="12"/>
  </w:num>
  <w:num w:numId="3">
    <w:abstractNumId w:val="7"/>
  </w:num>
  <w:num w:numId="4">
    <w:abstractNumId w:val="1"/>
  </w:num>
  <w:num w:numId="5">
    <w:abstractNumId w:val="11"/>
  </w:num>
  <w:num w:numId="6">
    <w:abstractNumId w:val="3"/>
  </w:num>
  <w:num w:numId="7">
    <w:abstractNumId w:val="9"/>
  </w:num>
  <w:num w:numId="8">
    <w:abstractNumId w:val="6"/>
  </w:num>
  <w:num w:numId="9">
    <w:abstractNumId w:val="0"/>
  </w:num>
  <w:num w:numId="10">
    <w:abstractNumId w:val="17"/>
  </w:num>
  <w:num w:numId="11">
    <w:abstractNumId w:val="18"/>
  </w:num>
  <w:num w:numId="12">
    <w:abstractNumId w:val="19"/>
  </w:num>
  <w:num w:numId="13">
    <w:abstractNumId w:val="10"/>
  </w:num>
  <w:num w:numId="14">
    <w:abstractNumId w:val="8"/>
  </w:num>
  <w:num w:numId="15">
    <w:abstractNumId w:val="4"/>
  </w:num>
  <w:num w:numId="16">
    <w:abstractNumId w:val="16"/>
  </w:num>
  <w:num w:numId="17">
    <w:abstractNumId w:val="5"/>
  </w:num>
  <w:num w:numId="18">
    <w:abstractNumId w:val="13"/>
  </w:num>
  <w:num w:numId="19">
    <w:abstractNumId w:val="14"/>
  </w:num>
  <w:num w:numId="20">
    <w:abstractNumId w:val="2"/>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EE"/>
    <w:rsid w:val="00017C2C"/>
    <w:rsid w:val="00024ADD"/>
    <w:rsid w:val="00033AD5"/>
    <w:rsid w:val="000A5504"/>
    <w:rsid w:val="000B132B"/>
    <w:rsid w:val="000E2D04"/>
    <w:rsid w:val="000F2745"/>
    <w:rsid w:val="000F33DA"/>
    <w:rsid w:val="000F7083"/>
    <w:rsid w:val="00143ABA"/>
    <w:rsid w:val="00157FBB"/>
    <w:rsid w:val="00196B6C"/>
    <w:rsid w:val="001B6372"/>
    <w:rsid w:val="001C1EB3"/>
    <w:rsid w:val="001E3EE5"/>
    <w:rsid w:val="001E75DC"/>
    <w:rsid w:val="002019CA"/>
    <w:rsid w:val="00204069"/>
    <w:rsid w:val="002079C2"/>
    <w:rsid w:val="00231453"/>
    <w:rsid w:val="002A494C"/>
    <w:rsid w:val="00315EE8"/>
    <w:rsid w:val="00346861"/>
    <w:rsid w:val="003504B6"/>
    <w:rsid w:val="00365B92"/>
    <w:rsid w:val="00375BDB"/>
    <w:rsid w:val="0038774E"/>
    <w:rsid w:val="003A50EE"/>
    <w:rsid w:val="003B5039"/>
    <w:rsid w:val="003D2FC7"/>
    <w:rsid w:val="003F4617"/>
    <w:rsid w:val="003F4A5C"/>
    <w:rsid w:val="004234D7"/>
    <w:rsid w:val="004344DF"/>
    <w:rsid w:val="00454587"/>
    <w:rsid w:val="00467B15"/>
    <w:rsid w:val="00470099"/>
    <w:rsid w:val="00471E60"/>
    <w:rsid w:val="004963B8"/>
    <w:rsid w:val="004A1E48"/>
    <w:rsid w:val="004F1F31"/>
    <w:rsid w:val="005226AC"/>
    <w:rsid w:val="0053421C"/>
    <w:rsid w:val="00540AE2"/>
    <w:rsid w:val="005416C6"/>
    <w:rsid w:val="005425EE"/>
    <w:rsid w:val="0056791B"/>
    <w:rsid w:val="00573A00"/>
    <w:rsid w:val="00577739"/>
    <w:rsid w:val="005D539D"/>
    <w:rsid w:val="00603B4D"/>
    <w:rsid w:val="006362BB"/>
    <w:rsid w:val="00640385"/>
    <w:rsid w:val="00662780"/>
    <w:rsid w:val="00684E7A"/>
    <w:rsid w:val="006A1DAC"/>
    <w:rsid w:val="006B7F66"/>
    <w:rsid w:val="006E2DF9"/>
    <w:rsid w:val="006E7A12"/>
    <w:rsid w:val="00705D2B"/>
    <w:rsid w:val="007112E1"/>
    <w:rsid w:val="007159F8"/>
    <w:rsid w:val="00721E23"/>
    <w:rsid w:val="00812085"/>
    <w:rsid w:val="00837DC7"/>
    <w:rsid w:val="008506FA"/>
    <w:rsid w:val="008647AC"/>
    <w:rsid w:val="00867A3E"/>
    <w:rsid w:val="008816F6"/>
    <w:rsid w:val="0088523B"/>
    <w:rsid w:val="00901A29"/>
    <w:rsid w:val="0092697D"/>
    <w:rsid w:val="00932DC6"/>
    <w:rsid w:val="00957A94"/>
    <w:rsid w:val="00980A41"/>
    <w:rsid w:val="009C5AFD"/>
    <w:rsid w:val="00A14731"/>
    <w:rsid w:val="00A47AA3"/>
    <w:rsid w:val="00A76571"/>
    <w:rsid w:val="00AA3929"/>
    <w:rsid w:val="00AF27C0"/>
    <w:rsid w:val="00B375F8"/>
    <w:rsid w:val="00B41F2F"/>
    <w:rsid w:val="00B421B3"/>
    <w:rsid w:val="00B82A9A"/>
    <w:rsid w:val="00BC6C38"/>
    <w:rsid w:val="00C02D58"/>
    <w:rsid w:val="00C03389"/>
    <w:rsid w:val="00C24119"/>
    <w:rsid w:val="00C31659"/>
    <w:rsid w:val="00CC5110"/>
    <w:rsid w:val="00D25A27"/>
    <w:rsid w:val="00D31273"/>
    <w:rsid w:val="00D35CAD"/>
    <w:rsid w:val="00D51FA1"/>
    <w:rsid w:val="00D73E58"/>
    <w:rsid w:val="00E03183"/>
    <w:rsid w:val="00E21722"/>
    <w:rsid w:val="00E316A1"/>
    <w:rsid w:val="00E34AD0"/>
    <w:rsid w:val="00E47F86"/>
    <w:rsid w:val="00E87F8E"/>
    <w:rsid w:val="00E91463"/>
    <w:rsid w:val="00EA2D07"/>
    <w:rsid w:val="00EC46CD"/>
    <w:rsid w:val="00F02293"/>
    <w:rsid w:val="00F1097D"/>
    <w:rsid w:val="00F206F8"/>
    <w:rsid w:val="00F405B3"/>
    <w:rsid w:val="00F43C30"/>
    <w:rsid w:val="00F67C5D"/>
    <w:rsid w:val="00F8194A"/>
    <w:rsid w:val="00FA1F57"/>
    <w:rsid w:val="00FA2B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CA7490-21C3-405E-A5C8-14858AD0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0EE"/>
    <w:rPr>
      <w:sz w:val="24"/>
      <w:szCs w:val="24"/>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Web-tablica1">
    <w:name w:val="Table Web 1"/>
    <w:basedOn w:val="Obinatablica"/>
    <w:rsid w:val="00AF27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iperveza">
    <w:name w:val="Hyperlink"/>
    <w:basedOn w:val="Zadanifontodlomka"/>
    <w:rsid w:val="00A76571"/>
    <w:rPr>
      <w:color w:val="0000FF"/>
      <w:u w:val="single"/>
    </w:rPr>
  </w:style>
  <w:style w:type="paragraph" w:customStyle="1" w:styleId="Default">
    <w:name w:val="Default"/>
    <w:rsid w:val="001E3EE5"/>
    <w:pPr>
      <w:autoSpaceDE w:val="0"/>
      <w:autoSpaceDN w:val="0"/>
      <w:adjustRightInd w:val="0"/>
    </w:pPr>
    <w:rPr>
      <w:rFonts w:ascii="Arial" w:hAnsi="Arial" w:cs="Arial"/>
      <w:color w:val="000000"/>
      <w:sz w:val="24"/>
      <w:szCs w:val="24"/>
    </w:rPr>
  </w:style>
  <w:style w:type="character" w:styleId="Referencafusnote">
    <w:name w:val="footnote reference"/>
    <w:basedOn w:val="Zadanifontodlomka"/>
    <w:semiHidden/>
    <w:rsid w:val="00F206F8"/>
    <w:rPr>
      <w:vertAlign w:val="superscript"/>
    </w:rPr>
  </w:style>
  <w:style w:type="paragraph" w:styleId="Odlomakpopisa">
    <w:name w:val="List Paragraph"/>
    <w:basedOn w:val="Normal"/>
    <w:uiPriority w:val="34"/>
    <w:qFormat/>
    <w:rsid w:val="00B41F2F"/>
    <w:pPr>
      <w:ind w:left="720"/>
      <w:contextualSpacing/>
    </w:pPr>
  </w:style>
  <w:style w:type="paragraph" w:styleId="Tekstbalonia">
    <w:name w:val="Balloon Text"/>
    <w:basedOn w:val="Normal"/>
    <w:link w:val="TekstbaloniaChar"/>
    <w:rsid w:val="00E47F86"/>
    <w:rPr>
      <w:rFonts w:ascii="Segoe UI" w:hAnsi="Segoe UI" w:cs="Segoe UI"/>
      <w:sz w:val="18"/>
      <w:szCs w:val="18"/>
    </w:rPr>
  </w:style>
  <w:style w:type="character" w:customStyle="1" w:styleId="TekstbaloniaChar">
    <w:name w:val="Tekst balončića Char"/>
    <w:basedOn w:val="Zadanifontodlomka"/>
    <w:link w:val="Tekstbalonia"/>
    <w:rsid w:val="00E47F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1201</Words>
  <Characters>6850</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OBRAZLOŽENJE</vt:lpstr>
    </vt:vector>
  </TitlesOfParts>
  <Company/>
  <LinksUpToDate>false</LinksUpToDate>
  <CharactersWithSpaces>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OBRAZLOŽENJE</dc:title>
  <dc:subject/>
  <dc:creator>nsculac</dc:creator>
  <cp:keywords/>
  <dc:description/>
  <cp:lastModifiedBy>Nenad Šćulac</cp:lastModifiedBy>
  <cp:revision>4</cp:revision>
  <cp:lastPrinted>2015-10-15T10:31:00Z</cp:lastPrinted>
  <dcterms:created xsi:type="dcterms:W3CDTF">2015-10-15T10:28:00Z</dcterms:created>
  <dcterms:modified xsi:type="dcterms:W3CDTF">2015-10-15T10:31:00Z</dcterms:modified>
</cp:coreProperties>
</file>